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2D" w:rsidRPr="0046255B" w:rsidRDefault="0075282D" w:rsidP="00F36647">
      <w:pPr>
        <w:jc w:val="center"/>
        <w:rPr>
          <w:rFonts w:ascii="Arial" w:hAnsi="Arial" w:cs="Arial"/>
          <w:sz w:val="20"/>
          <w:u w:val="single"/>
        </w:rPr>
      </w:pPr>
      <w:bookmarkStart w:id="0" w:name="_GoBack"/>
      <w:bookmarkEnd w:id="0"/>
      <w:r w:rsidRPr="0046255B">
        <w:rPr>
          <w:rFonts w:ascii="Arial" w:hAnsi="Arial" w:cs="Arial"/>
          <w:sz w:val="20"/>
          <w:u w:val="single"/>
        </w:rPr>
        <w:t xml:space="preserve">Gründungssitzung des „Joint </w:t>
      </w:r>
      <w:proofErr w:type="spellStart"/>
      <w:r w:rsidRPr="0046255B">
        <w:rPr>
          <w:rFonts w:ascii="Arial" w:hAnsi="Arial" w:cs="Arial"/>
          <w:sz w:val="20"/>
          <w:u w:val="single"/>
        </w:rPr>
        <w:t>Committee</w:t>
      </w:r>
      <w:proofErr w:type="spellEnd"/>
      <w:r w:rsidRPr="0046255B">
        <w:rPr>
          <w:rFonts w:ascii="Arial" w:hAnsi="Arial" w:cs="Arial"/>
          <w:sz w:val="20"/>
          <w:u w:val="single"/>
        </w:rPr>
        <w:t xml:space="preserve"> Slowenien-Steiermark“</w:t>
      </w:r>
      <w:r w:rsidRPr="0046255B">
        <w:rPr>
          <w:rFonts w:ascii="Arial" w:hAnsi="Arial" w:cs="Arial"/>
          <w:sz w:val="20"/>
          <w:u w:val="single"/>
        </w:rPr>
        <w:br/>
        <w:t>am 14. Mai 2014</w:t>
      </w:r>
      <w:r w:rsidRPr="0046255B">
        <w:rPr>
          <w:rFonts w:ascii="Arial" w:hAnsi="Arial" w:cs="Arial"/>
          <w:sz w:val="20"/>
          <w:u w:val="single"/>
        </w:rPr>
        <w:br/>
      </w:r>
    </w:p>
    <w:p w:rsidR="00ED0216" w:rsidRPr="0075282D" w:rsidRDefault="00F36647" w:rsidP="00F36647">
      <w:pPr>
        <w:jc w:val="center"/>
        <w:rPr>
          <w:rFonts w:ascii="Arial" w:hAnsi="Arial" w:cs="Arial"/>
          <w:b/>
          <w:sz w:val="32"/>
        </w:rPr>
      </w:pPr>
      <w:r w:rsidRPr="0075282D">
        <w:rPr>
          <w:rFonts w:ascii="Arial" w:hAnsi="Arial" w:cs="Arial"/>
          <w:b/>
          <w:sz w:val="32"/>
        </w:rPr>
        <w:t>Gemeinsame Erklärung</w:t>
      </w:r>
    </w:p>
    <w:p w:rsidR="00F36647" w:rsidRDefault="00F36647" w:rsidP="0075282D">
      <w:pPr>
        <w:jc w:val="center"/>
        <w:rPr>
          <w:rFonts w:ascii="Arial" w:hAnsi="Arial" w:cs="Arial"/>
        </w:rPr>
      </w:pPr>
    </w:p>
    <w:p w:rsidR="0075282D" w:rsidRPr="003A1565" w:rsidRDefault="0075282D">
      <w:pPr>
        <w:rPr>
          <w:rFonts w:ascii="Arial" w:hAnsi="Arial" w:cs="Arial"/>
        </w:rPr>
      </w:pPr>
    </w:p>
    <w:p w:rsidR="00F36647" w:rsidRPr="003A1565" w:rsidRDefault="00F36647" w:rsidP="003A1565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Die Vertreter der Republik Slowenien und des Landes Steiermark trafen am 14. Mai 2014</w:t>
      </w:r>
      <w:r w:rsidR="00680179">
        <w:rPr>
          <w:rFonts w:ascii="Arial" w:hAnsi="Arial" w:cs="Arial"/>
        </w:rPr>
        <w:t xml:space="preserve"> </w:t>
      </w:r>
      <w:r w:rsidR="00680179" w:rsidRPr="003A1565">
        <w:rPr>
          <w:rFonts w:ascii="Arial" w:hAnsi="Arial" w:cs="Arial"/>
        </w:rPr>
        <w:t>in Graz</w:t>
      </w:r>
      <w:r w:rsidRPr="003A1565">
        <w:rPr>
          <w:rFonts w:ascii="Arial" w:hAnsi="Arial" w:cs="Arial"/>
        </w:rPr>
        <w:t xml:space="preserve"> zur ersten Sitzung des Gemeinsamen Komitees </w:t>
      </w:r>
      <w:r w:rsidR="00680179">
        <w:rPr>
          <w:rFonts w:ascii="Arial" w:hAnsi="Arial" w:cs="Arial"/>
        </w:rPr>
        <w:t>Slowenien-</w:t>
      </w:r>
      <w:r w:rsidR="00B44B11">
        <w:rPr>
          <w:rFonts w:ascii="Arial" w:hAnsi="Arial" w:cs="Arial"/>
        </w:rPr>
        <w:t>Steiermark</w:t>
      </w:r>
      <w:r w:rsidRPr="003A1565">
        <w:rPr>
          <w:rFonts w:ascii="Arial" w:hAnsi="Arial" w:cs="Arial"/>
        </w:rPr>
        <w:t xml:space="preserve"> zusammen</w:t>
      </w:r>
      <w:r w:rsidR="00680179">
        <w:rPr>
          <w:rFonts w:ascii="Arial" w:hAnsi="Arial" w:cs="Arial"/>
        </w:rPr>
        <w:t xml:space="preserve"> in der sie d</w:t>
      </w:r>
      <w:r w:rsidR="00B44B11">
        <w:rPr>
          <w:rFonts w:ascii="Arial" w:hAnsi="Arial" w:cs="Arial"/>
        </w:rPr>
        <w:t>en</w:t>
      </w:r>
      <w:r w:rsidR="00680179">
        <w:rPr>
          <w:rFonts w:ascii="Arial" w:hAnsi="Arial" w:cs="Arial"/>
        </w:rPr>
        <w:t xml:space="preserve"> starke</w:t>
      </w:r>
      <w:r w:rsidR="00B44B11">
        <w:rPr>
          <w:rFonts w:ascii="Arial" w:hAnsi="Arial" w:cs="Arial"/>
        </w:rPr>
        <w:t>n</w:t>
      </w:r>
      <w:r w:rsidR="00680179">
        <w:rPr>
          <w:rFonts w:ascii="Arial" w:hAnsi="Arial" w:cs="Arial"/>
        </w:rPr>
        <w:t xml:space="preserve"> Wille</w:t>
      </w:r>
      <w:r w:rsidR="00B44B11">
        <w:rPr>
          <w:rFonts w:ascii="Arial" w:hAnsi="Arial" w:cs="Arial"/>
        </w:rPr>
        <w:t>n</w:t>
      </w:r>
      <w:r w:rsidR="00680179">
        <w:rPr>
          <w:rFonts w:ascii="Arial" w:hAnsi="Arial" w:cs="Arial"/>
        </w:rPr>
        <w:t xml:space="preserve"> zur Vertiefung der </w:t>
      </w:r>
      <w:r w:rsidR="00B44B11">
        <w:rPr>
          <w:rFonts w:ascii="Arial" w:hAnsi="Arial" w:cs="Arial"/>
        </w:rPr>
        <w:t>bereits</w:t>
      </w:r>
      <w:r w:rsidR="00680179">
        <w:rPr>
          <w:rFonts w:ascii="Arial" w:hAnsi="Arial" w:cs="Arial"/>
        </w:rPr>
        <w:t xml:space="preserve"> vorhandenen Zusammenarbeit auf regionaler Ebene, wo die Beziehungen zwischen den beiden Nachbarstaaten besonders intensiv sind, </w:t>
      </w:r>
      <w:r w:rsidR="00B44B11">
        <w:rPr>
          <w:rFonts w:ascii="Arial" w:hAnsi="Arial" w:cs="Arial"/>
        </w:rPr>
        <w:t xml:space="preserve">zum Ausdruck gebracht </w:t>
      </w:r>
      <w:r w:rsidR="00680179">
        <w:rPr>
          <w:rFonts w:ascii="Arial" w:hAnsi="Arial" w:cs="Arial"/>
        </w:rPr>
        <w:t xml:space="preserve">haben. </w:t>
      </w:r>
    </w:p>
    <w:p w:rsidR="00F36647" w:rsidRPr="003A1565" w:rsidRDefault="00F36647" w:rsidP="003A1565">
      <w:pPr>
        <w:jc w:val="both"/>
        <w:rPr>
          <w:rFonts w:ascii="Arial" w:hAnsi="Arial" w:cs="Arial"/>
        </w:rPr>
      </w:pPr>
    </w:p>
    <w:p w:rsidR="00604B54" w:rsidRPr="003A1565" w:rsidRDefault="00F36647" w:rsidP="00604B54">
      <w:pPr>
        <w:ind w:left="360"/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Ziel der Einrichtung</w:t>
      </w:r>
      <w:r w:rsidR="00680179">
        <w:rPr>
          <w:rFonts w:ascii="Arial" w:hAnsi="Arial" w:cs="Arial"/>
        </w:rPr>
        <w:t xml:space="preserve"> des Gemei</w:t>
      </w:r>
      <w:r w:rsidR="00624CEE">
        <w:rPr>
          <w:rFonts w:ascii="Arial" w:hAnsi="Arial" w:cs="Arial"/>
        </w:rPr>
        <w:t>nsamen</w:t>
      </w:r>
      <w:r w:rsidR="00680179">
        <w:rPr>
          <w:rFonts w:ascii="Arial" w:hAnsi="Arial" w:cs="Arial"/>
        </w:rPr>
        <w:t xml:space="preserve"> Komitees</w:t>
      </w:r>
      <w:r w:rsidRPr="003A1565">
        <w:rPr>
          <w:rFonts w:ascii="Arial" w:hAnsi="Arial" w:cs="Arial"/>
        </w:rPr>
        <w:t xml:space="preserve"> ist die Intensivierung der Zusammenarbeit, das </w:t>
      </w:r>
      <w:r w:rsidR="00604B54">
        <w:rPr>
          <w:rFonts w:ascii="Arial" w:hAnsi="Arial" w:cs="Arial"/>
        </w:rPr>
        <w:t xml:space="preserve">– auf Basis direkter </w:t>
      </w:r>
      <w:r w:rsidR="00680179">
        <w:rPr>
          <w:rFonts w:ascii="Arial" w:hAnsi="Arial" w:cs="Arial"/>
        </w:rPr>
        <w:t>Zusammenarbeit zwischen Ministerien der slowenischen Regierung und</w:t>
      </w:r>
      <w:r w:rsidR="009D34A8">
        <w:rPr>
          <w:rFonts w:ascii="Arial" w:hAnsi="Arial" w:cs="Arial"/>
        </w:rPr>
        <w:t xml:space="preserve"> dem Amt</w:t>
      </w:r>
      <w:r w:rsidR="00680179">
        <w:rPr>
          <w:rFonts w:ascii="Arial" w:hAnsi="Arial" w:cs="Arial"/>
        </w:rPr>
        <w:t xml:space="preserve"> der </w:t>
      </w:r>
      <w:r w:rsidR="009A5DD1">
        <w:rPr>
          <w:rFonts w:ascii="Arial" w:hAnsi="Arial" w:cs="Arial"/>
        </w:rPr>
        <w:t xml:space="preserve">steiermärkischen </w:t>
      </w:r>
      <w:r w:rsidR="00F338E7">
        <w:rPr>
          <w:rFonts w:ascii="Arial" w:hAnsi="Arial" w:cs="Arial"/>
        </w:rPr>
        <w:t xml:space="preserve">Landesregierung </w:t>
      </w:r>
      <w:r w:rsidR="00604B54">
        <w:rPr>
          <w:rFonts w:ascii="Arial" w:hAnsi="Arial" w:cs="Arial"/>
        </w:rPr>
        <w:t xml:space="preserve">– </w:t>
      </w:r>
      <w:r w:rsidR="00F338E7">
        <w:rPr>
          <w:rFonts w:ascii="Arial" w:hAnsi="Arial" w:cs="Arial"/>
        </w:rPr>
        <w:t>de</w:t>
      </w:r>
      <w:r w:rsidR="00B44B11">
        <w:rPr>
          <w:rFonts w:ascii="Arial" w:hAnsi="Arial" w:cs="Arial"/>
        </w:rPr>
        <w:t>r</w:t>
      </w:r>
      <w:r w:rsidR="00F338E7" w:rsidRPr="003A1565">
        <w:rPr>
          <w:rFonts w:ascii="Arial" w:hAnsi="Arial" w:cs="Arial"/>
        </w:rPr>
        <w:t xml:space="preserve"> </w:t>
      </w:r>
      <w:r w:rsidRPr="003A1565">
        <w:rPr>
          <w:rFonts w:ascii="Arial" w:hAnsi="Arial" w:cs="Arial"/>
        </w:rPr>
        <w:t xml:space="preserve">Verstärkung </w:t>
      </w:r>
      <w:r w:rsidR="00F338E7">
        <w:rPr>
          <w:rFonts w:ascii="Arial" w:hAnsi="Arial" w:cs="Arial"/>
        </w:rPr>
        <w:t xml:space="preserve">der Zusammenarbeit </w:t>
      </w:r>
      <w:r w:rsidRPr="003A1565">
        <w:rPr>
          <w:rFonts w:ascii="Arial" w:hAnsi="Arial" w:cs="Arial"/>
        </w:rPr>
        <w:t>zwischen der Republik Slowenien und dem Bundesland Steiermark</w:t>
      </w:r>
      <w:r w:rsidR="009C572C">
        <w:rPr>
          <w:rFonts w:ascii="Arial" w:hAnsi="Arial" w:cs="Arial"/>
        </w:rPr>
        <w:t xml:space="preserve"> auf </w:t>
      </w:r>
      <w:r w:rsidR="00F338E7">
        <w:rPr>
          <w:rFonts w:ascii="Arial" w:hAnsi="Arial" w:cs="Arial"/>
        </w:rPr>
        <w:t>möglichst vielen Gebieten de</w:t>
      </w:r>
      <w:r w:rsidR="00B44B11">
        <w:rPr>
          <w:rFonts w:ascii="Arial" w:hAnsi="Arial" w:cs="Arial"/>
        </w:rPr>
        <w:t>s</w:t>
      </w:r>
      <w:r w:rsidR="00F338E7">
        <w:rPr>
          <w:rFonts w:ascii="Arial" w:hAnsi="Arial" w:cs="Arial"/>
        </w:rPr>
        <w:t xml:space="preserve"> gemeinsame</w:t>
      </w:r>
      <w:r w:rsidR="00B44B11">
        <w:rPr>
          <w:rFonts w:ascii="Arial" w:hAnsi="Arial" w:cs="Arial"/>
        </w:rPr>
        <w:t>n</w:t>
      </w:r>
      <w:r w:rsidR="00F338E7">
        <w:rPr>
          <w:rFonts w:ascii="Arial" w:hAnsi="Arial" w:cs="Arial"/>
        </w:rPr>
        <w:t xml:space="preserve"> Interesse</w:t>
      </w:r>
      <w:r w:rsidRPr="003A1565">
        <w:rPr>
          <w:rFonts w:ascii="Arial" w:hAnsi="Arial" w:cs="Arial"/>
        </w:rPr>
        <w:t xml:space="preserve"> dienen soll.</w:t>
      </w:r>
    </w:p>
    <w:p w:rsidR="00F36647" w:rsidRPr="003A1565" w:rsidRDefault="00F36647" w:rsidP="003A1565">
      <w:pPr>
        <w:jc w:val="both"/>
        <w:rPr>
          <w:rFonts w:ascii="Arial" w:hAnsi="Arial" w:cs="Arial"/>
        </w:rPr>
      </w:pPr>
    </w:p>
    <w:p w:rsidR="00F36647" w:rsidRPr="003A1565" w:rsidRDefault="00F36647" w:rsidP="003A1565">
      <w:pPr>
        <w:ind w:left="360"/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Das Gemeinsame Komitee wird sich</w:t>
      </w:r>
      <w:r w:rsidR="009C572C">
        <w:rPr>
          <w:rFonts w:ascii="Arial" w:hAnsi="Arial" w:cs="Arial"/>
        </w:rPr>
        <w:t xml:space="preserve"> voraussichtlich</w:t>
      </w:r>
      <w:r w:rsidRPr="003A1565">
        <w:rPr>
          <w:rFonts w:ascii="Arial" w:hAnsi="Arial" w:cs="Arial"/>
        </w:rPr>
        <w:t xml:space="preserve"> jährlich</w:t>
      </w:r>
      <w:r w:rsidR="001009B2">
        <w:rPr>
          <w:rFonts w:ascii="Arial" w:hAnsi="Arial" w:cs="Arial"/>
        </w:rPr>
        <w:t xml:space="preserve"> bzw. nach Bedarf</w:t>
      </w:r>
      <w:r w:rsidRPr="003A1565">
        <w:rPr>
          <w:rFonts w:ascii="Arial" w:hAnsi="Arial" w:cs="Arial"/>
        </w:rPr>
        <w:t xml:space="preserve"> abwechselnd in Slowenien und in der Steiermark</w:t>
      </w:r>
      <w:r w:rsidR="009C572C">
        <w:rPr>
          <w:rFonts w:ascii="Arial" w:hAnsi="Arial" w:cs="Arial"/>
        </w:rPr>
        <w:t>,</w:t>
      </w:r>
      <w:r w:rsidRPr="003A1565">
        <w:rPr>
          <w:rFonts w:ascii="Arial" w:hAnsi="Arial" w:cs="Arial"/>
        </w:rPr>
        <w:t xml:space="preserve"> </w:t>
      </w:r>
      <w:r w:rsidR="00604B54">
        <w:rPr>
          <w:rFonts w:ascii="Arial" w:hAnsi="Arial" w:cs="Arial"/>
        </w:rPr>
        <w:t>treffen. Dabei wird die Umsetzung der Vorhaben in den definierten Bereichen evaluiert sowie dar</w:t>
      </w:r>
      <w:r w:rsidRPr="003A1565">
        <w:rPr>
          <w:rFonts w:ascii="Arial" w:hAnsi="Arial" w:cs="Arial"/>
        </w:rPr>
        <w:t>über</w:t>
      </w:r>
      <w:r w:rsidR="00604B54">
        <w:rPr>
          <w:rFonts w:ascii="Arial" w:hAnsi="Arial" w:cs="Arial"/>
        </w:rPr>
        <w:t xml:space="preserve"> hinaus</w:t>
      </w:r>
      <w:r w:rsidRPr="003A1565">
        <w:rPr>
          <w:rFonts w:ascii="Arial" w:hAnsi="Arial" w:cs="Arial"/>
        </w:rPr>
        <w:t xml:space="preserve"> </w:t>
      </w:r>
      <w:r w:rsidR="00604B54">
        <w:rPr>
          <w:rFonts w:ascii="Arial" w:hAnsi="Arial" w:cs="Arial"/>
        </w:rPr>
        <w:t>geprüft</w:t>
      </w:r>
      <w:r w:rsidRPr="003A1565">
        <w:rPr>
          <w:rFonts w:ascii="Arial" w:hAnsi="Arial" w:cs="Arial"/>
        </w:rPr>
        <w:t>, welche Themen oder Aktivitäten das Gemeinsame Komitee zusätzlich in seinen Arbeitsplan aufnehmen kann.</w:t>
      </w:r>
    </w:p>
    <w:p w:rsidR="008E05A1" w:rsidRPr="003A1565" w:rsidRDefault="008E05A1" w:rsidP="003A1565">
      <w:pPr>
        <w:jc w:val="both"/>
        <w:rPr>
          <w:rFonts w:ascii="Arial" w:hAnsi="Arial" w:cs="Arial"/>
        </w:rPr>
      </w:pPr>
    </w:p>
    <w:p w:rsidR="00604B54" w:rsidRDefault="008E05A1" w:rsidP="003A1565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Als Bereiche, die im Rahmen des Gemeinsamen Komitees bearbeitet werden, wurden</w:t>
      </w:r>
      <w:r w:rsidR="009C572C">
        <w:rPr>
          <w:rFonts w:ascii="Arial" w:hAnsi="Arial" w:cs="Arial"/>
        </w:rPr>
        <w:t xml:space="preserve"> in der Anfangsphase</w:t>
      </w:r>
      <w:r w:rsidRPr="003A1565">
        <w:rPr>
          <w:rFonts w:ascii="Arial" w:hAnsi="Arial" w:cs="Arial"/>
        </w:rPr>
        <w:t xml:space="preserve"> </w:t>
      </w:r>
      <w:r w:rsidRPr="003A1565">
        <w:rPr>
          <w:rFonts w:ascii="Arial" w:hAnsi="Arial" w:cs="Arial"/>
          <w:i/>
        </w:rPr>
        <w:t>Katastrophenschutz, Tourismus, Kultur, Bildung, Verwaltung und öffentlicher Dienst</w:t>
      </w:r>
      <w:r w:rsidR="00E8615B">
        <w:rPr>
          <w:rFonts w:ascii="Arial" w:hAnsi="Arial" w:cs="Arial"/>
          <w:i/>
        </w:rPr>
        <w:t xml:space="preserve"> sowie Wirtschaft</w:t>
      </w:r>
      <w:r w:rsidRPr="003A1565">
        <w:rPr>
          <w:rFonts w:ascii="Arial" w:hAnsi="Arial" w:cs="Arial"/>
        </w:rPr>
        <w:t xml:space="preserve"> definiert.</w:t>
      </w:r>
      <w:r w:rsidR="009C572C">
        <w:rPr>
          <w:rFonts w:ascii="Arial" w:hAnsi="Arial" w:cs="Arial"/>
        </w:rPr>
        <w:t xml:space="preserve"> In </w:t>
      </w:r>
      <w:r w:rsidR="00B44B11">
        <w:rPr>
          <w:rFonts w:ascii="Arial" w:hAnsi="Arial" w:cs="Arial"/>
        </w:rPr>
        <w:t>den folgenden Phasen</w:t>
      </w:r>
      <w:r w:rsidR="009C572C">
        <w:rPr>
          <w:rFonts w:ascii="Arial" w:hAnsi="Arial" w:cs="Arial"/>
        </w:rPr>
        <w:t xml:space="preserve"> der Zusammenarbeit</w:t>
      </w:r>
      <w:r w:rsidR="009D2ECE">
        <w:rPr>
          <w:rFonts w:ascii="Arial" w:hAnsi="Arial" w:cs="Arial"/>
        </w:rPr>
        <w:t xml:space="preserve"> können, wenn gemeinsames Interesse dafür besteht, auch andere Arbeitsgebiete miteinbezogen werden.</w:t>
      </w:r>
      <w:r w:rsidRPr="003A1565">
        <w:rPr>
          <w:rFonts w:ascii="Arial" w:hAnsi="Arial" w:cs="Arial"/>
        </w:rPr>
        <w:t xml:space="preserve"> Die Zusammenarbeit erfolgt </w:t>
      </w:r>
      <w:r w:rsidR="00BD427B" w:rsidRPr="003A1565">
        <w:rPr>
          <w:rFonts w:ascii="Arial" w:hAnsi="Arial" w:cs="Arial"/>
        </w:rPr>
        <w:t xml:space="preserve">auf regionaler Ebene </w:t>
      </w:r>
      <w:r w:rsidRPr="003A1565">
        <w:rPr>
          <w:rFonts w:ascii="Arial" w:hAnsi="Arial" w:cs="Arial"/>
        </w:rPr>
        <w:t xml:space="preserve">durch </w:t>
      </w:r>
    </w:p>
    <w:p w:rsidR="00604B54" w:rsidRDefault="008E05A1" w:rsidP="00604B54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 xml:space="preserve">gemeinsame Projekte und Aktivitäten der Behörden, </w:t>
      </w:r>
    </w:p>
    <w:p w:rsidR="00604B54" w:rsidRDefault="00604B54" w:rsidP="00604B54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E05A1" w:rsidRPr="003A1565">
        <w:rPr>
          <w:rFonts w:ascii="Arial" w:hAnsi="Arial" w:cs="Arial"/>
        </w:rPr>
        <w:t xml:space="preserve">ie Unterstützung von Einrichtungen und Initiativen sowie </w:t>
      </w:r>
    </w:p>
    <w:p w:rsidR="008E05A1" w:rsidRPr="003A1565" w:rsidRDefault="008E05A1" w:rsidP="00604B54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Erfahrungsaustausch zwischen relevanten Stellen.</w:t>
      </w:r>
    </w:p>
    <w:p w:rsidR="008E05A1" w:rsidRPr="003A1565" w:rsidRDefault="008E05A1" w:rsidP="003A1565">
      <w:pPr>
        <w:jc w:val="both"/>
        <w:rPr>
          <w:rFonts w:ascii="Arial" w:hAnsi="Arial" w:cs="Arial"/>
        </w:rPr>
      </w:pPr>
    </w:p>
    <w:p w:rsidR="008E05A1" w:rsidRPr="003A1565" w:rsidRDefault="008E05A1" w:rsidP="003A1565">
      <w:pPr>
        <w:jc w:val="both"/>
        <w:rPr>
          <w:rFonts w:ascii="Arial" w:hAnsi="Arial" w:cs="Arial"/>
        </w:rPr>
      </w:pPr>
    </w:p>
    <w:p w:rsidR="00FA4888" w:rsidRPr="003A1565" w:rsidRDefault="00FA4888" w:rsidP="003A1565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 xml:space="preserve">Die Republik Slowenien und das Land Steiermark </w:t>
      </w:r>
      <w:r w:rsidR="006A4DCD">
        <w:rPr>
          <w:rFonts w:ascii="Arial" w:hAnsi="Arial" w:cs="Arial"/>
        </w:rPr>
        <w:t>werden die Möglichkeiten zur Umsetzung der</w:t>
      </w:r>
      <w:r w:rsidR="006A4DCD" w:rsidRPr="003A1565">
        <w:rPr>
          <w:rFonts w:ascii="Arial" w:hAnsi="Arial" w:cs="Arial"/>
        </w:rPr>
        <w:t xml:space="preserve"> </w:t>
      </w:r>
      <w:r w:rsidRPr="003A1565">
        <w:rPr>
          <w:rFonts w:ascii="Arial" w:hAnsi="Arial" w:cs="Arial"/>
        </w:rPr>
        <w:t>folgende</w:t>
      </w:r>
      <w:r w:rsidR="006A4DCD">
        <w:rPr>
          <w:rFonts w:ascii="Arial" w:hAnsi="Arial" w:cs="Arial"/>
        </w:rPr>
        <w:t>n</w:t>
      </w:r>
      <w:r w:rsidRPr="003A1565">
        <w:rPr>
          <w:rFonts w:ascii="Arial" w:hAnsi="Arial" w:cs="Arial"/>
        </w:rPr>
        <w:t xml:space="preserve"> </w:t>
      </w:r>
      <w:r w:rsidRPr="003A1565">
        <w:rPr>
          <w:rFonts w:ascii="Arial" w:hAnsi="Arial" w:cs="Arial"/>
          <w:b/>
        </w:rPr>
        <w:t>gemeinsame</w:t>
      </w:r>
      <w:r w:rsidR="006A4DCD">
        <w:rPr>
          <w:rFonts w:ascii="Arial" w:hAnsi="Arial" w:cs="Arial"/>
          <w:b/>
        </w:rPr>
        <w:t>n</w:t>
      </w:r>
      <w:r w:rsidRPr="003A1565">
        <w:rPr>
          <w:rFonts w:ascii="Arial" w:hAnsi="Arial" w:cs="Arial"/>
          <w:b/>
        </w:rPr>
        <w:t xml:space="preserve"> Projekte</w:t>
      </w:r>
      <w:r w:rsidR="00B44B11">
        <w:rPr>
          <w:rFonts w:ascii="Arial" w:hAnsi="Arial" w:cs="Arial"/>
          <w:b/>
        </w:rPr>
        <w:t>n</w:t>
      </w:r>
      <w:r w:rsidRPr="003A1565">
        <w:rPr>
          <w:rFonts w:ascii="Arial" w:hAnsi="Arial" w:cs="Arial"/>
          <w:b/>
        </w:rPr>
        <w:t xml:space="preserve"> und Aktivitäten</w:t>
      </w:r>
      <w:r w:rsidRPr="003A1565">
        <w:rPr>
          <w:rFonts w:ascii="Arial" w:hAnsi="Arial" w:cs="Arial"/>
        </w:rPr>
        <w:t xml:space="preserve"> </w:t>
      </w:r>
      <w:r w:rsidR="006A4DCD">
        <w:rPr>
          <w:rFonts w:ascii="Arial" w:hAnsi="Arial" w:cs="Arial"/>
        </w:rPr>
        <w:t>prüfen</w:t>
      </w:r>
      <w:r w:rsidRPr="003A1565">
        <w:rPr>
          <w:rFonts w:ascii="Arial" w:hAnsi="Arial" w:cs="Arial"/>
        </w:rPr>
        <w:t>:</w:t>
      </w:r>
    </w:p>
    <w:p w:rsidR="008E05A1" w:rsidRPr="003A1565" w:rsidRDefault="008E05A1" w:rsidP="003A1565">
      <w:pPr>
        <w:pStyle w:val="Listenabsatz"/>
        <w:ind w:left="360"/>
        <w:jc w:val="both"/>
        <w:rPr>
          <w:rFonts w:ascii="Arial" w:hAnsi="Arial" w:cs="Arial"/>
        </w:rPr>
      </w:pPr>
    </w:p>
    <w:p w:rsidR="00DF664B" w:rsidRPr="003A1565" w:rsidRDefault="00DF664B" w:rsidP="003A1565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Katastrophenschutz:</w:t>
      </w:r>
    </w:p>
    <w:p w:rsidR="00DF664B" w:rsidRPr="003A1565" w:rsidRDefault="006A4DCD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Informationsaustausch, </w:t>
      </w:r>
      <w:r w:rsidR="00DF664B" w:rsidRPr="003A1565">
        <w:rPr>
          <w:rFonts w:ascii="Arial" w:hAnsi="Arial" w:cs="Arial"/>
        </w:rPr>
        <w:t>gegenseitige Information und Kooperation in Katastrophenfällen</w:t>
      </w:r>
    </w:p>
    <w:p w:rsidR="00DF664B" w:rsidRPr="003A1565" w:rsidRDefault="00DF664B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Durchführung gemeinsamer Übungen im Bereich Katastrophenschutz</w:t>
      </w:r>
    </w:p>
    <w:p w:rsidR="00DF664B" w:rsidRPr="003A1565" w:rsidRDefault="00DF664B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Gemeinsame Teilnahme an EU-Projekten wie beispielsweise das Projekt MURA-2015)</w:t>
      </w:r>
    </w:p>
    <w:p w:rsidR="00FA4888" w:rsidRPr="003A1565" w:rsidRDefault="00FA4888" w:rsidP="003A1565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 xml:space="preserve">Tourismus: </w:t>
      </w:r>
    </w:p>
    <w:p w:rsidR="00FA4888" w:rsidRPr="003A1565" w:rsidRDefault="0019482D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Vorschläge </w:t>
      </w:r>
      <w:r w:rsidR="0075177A">
        <w:rPr>
          <w:rFonts w:ascii="Arial" w:hAnsi="Arial" w:cs="Arial"/>
        </w:rPr>
        <w:t>zur</w:t>
      </w:r>
      <w:r>
        <w:rPr>
          <w:rFonts w:ascii="Arial" w:hAnsi="Arial" w:cs="Arial"/>
        </w:rPr>
        <w:t xml:space="preserve"> </w:t>
      </w:r>
      <w:r w:rsidR="00FA4888" w:rsidRPr="003A1565">
        <w:rPr>
          <w:rFonts w:ascii="Arial" w:hAnsi="Arial" w:cs="Arial"/>
        </w:rPr>
        <w:t>Abstimmung eines gemeinsamen rechtlichen Rahmens für grenzüberschreitende Wander- und Fahrradwege</w:t>
      </w:r>
    </w:p>
    <w:p w:rsidR="00FA4888" w:rsidRPr="003A1565" w:rsidRDefault="006A4DCD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Möglichkeiten</w:t>
      </w:r>
      <w:r w:rsidRPr="003A1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zum</w:t>
      </w:r>
      <w:r w:rsidRPr="003A1565">
        <w:rPr>
          <w:rFonts w:ascii="Arial" w:hAnsi="Arial" w:cs="Arial"/>
        </w:rPr>
        <w:t xml:space="preserve"> </w:t>
      </w:r>
      <w:r w:rsidR="00FA4888" w:rsidRPr="003A1565">
        <w:rPr>
          <w:rFonts w:ascii="Arial" w:hAnsi="Arial" w:cs="Arial"/>
        </w:rPr>
        <w:t>Ausbau grenzüberschreitender Radwege</w:t>
      </w:r>
      <w:r>
        <w:rPr>
          <w:rFonts w:ascii="Arial" w:hAnsi="Arial" w:cs="Arial"/>
        </w:rPr>
        <w:t>, touristischen Weinstraßen</w:t>
      </w:r>
      <w:r w:rsidR="00FA4888" w:rsidRPr="003A1565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Entwicklung der touristischen Produkte</w:t>
      </w:r>
      <w:r w:rsidR="001A5BFF">
        <w:rPr>
          <w:rFonts w:ascii="Arial" w:hAnsi="Arial" w:cs="Arial"/>
        </w:rPr>
        <w:t xml:space="preserve"> und</w:t>
      </w:r>
      <w:r w:rsidR="00FA4888" w:rsidRPr="003A1565">
        <w:rPr>
          <w:rFonts w:ascii="Arial" w:hAnsi="Arial" w:cs="Arial"/>
        </w:rPr>
        <w:t xml:space="preserve"> Verknüpfung mit </w:t>
      </w:r>
      <w:r w:rsidR="001A5BFF" w:rsidRPr="003A1565">
        <w:rPr>
          <w:rFonts w:ascii="Arial" w:hAnsi="Arial" w:cs="Arial"/>
        </w:rPr>
        <w:t>de</w:t>
      </w:r>
      <w:r w:rsidR="00624CEE">
        <w:rPr>
          <w:rFonts w:ascii="Arial" w:hAnsi="Arial" w:cs="Arial"/>
        </w:rPr>
        <w:t>m</w:t>
      </w:r>
      <w:r w:rsidR="001A5BFF" w:rsidRPr="003A1565">
        <w:rPr>
          <w:rFonts w:ascii="Arial" w:hAnsi="Arial" w:cs="Arial"/>
        </w:rPr>
        <w:t xml:space="preserve"> </w:t>
      </w:r>
      <w:r w:rsidR="00FA4888" w:rsidRPr="003A1565">
        <w:rPr>
          <w:rFonts w:ascii="Arial" w:hAnsi="Arial" w:cs="Arial"/>
        </w:rPr>
        <w:t>Öffentlichen Personen</w:t>
      </w:r>
      <w:r w:rsidR="00B44B11">
        <w:rPr>
          <w:rFonts w:ascii="Arial" w:hAnsi="Arial" w:cs="Arial"/>
        </w:rPr>
        <w:t>nah</w:t>
      </w:r>
      <w:r w:rsidR="00FA4888" w:rsidRPr="003A1565">
        <w:rPr>
          <w:rFonts w:ascii="Arial" w:hAnsi="Arial" w:cs="Arial"/>
        </w:rPr>
        <w:t>verkehr</w:t>
      </w:r>
    </w:p>
    <w:p w:rsidR="00FA4888" w:rsidRPr="003A1565" w:rsidRDefault="0019482D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Vorschläge </w:t>
      </w:r>
      <w:r w:rsidR="0075177A">
        <w:rPr>
          <w:rFonts w:ascii="Arial" w:hAnsi="Arial" w:cs="Arial"/>
        </w:rPr>
        <w:t>zur</w:t>
      </w:r>
      <w:r>
        <w:rPr>
          <w:rFonts w:ascii="Arial" w:hAnsi="Arial" w:cs="Arial"/>
        </w:rPr>
        <w:t xml:space="preserve"> </w:t>
      </w:r>
      <w:r w:rsidR="0075177A">
        <w:rPr>
          <w:rFonts w:ascii="Arial" w:hAnsi="Arial" w:cs="Arial"/>
        </w:rPr>
        <w:t>g</w:t>
      </w:r>
      <w:r w:rsidR="00FA4888" w:rsidRPr="003A1565">
        <w:rPr>
          <w:rFonts w:ascii="Arial" w:hAnsi="Arial" w:cs="Arial"/>
        </w:rPr>
        <w:t>emeinsame</w:t>
      </w:r>
      <w:r w:rsidR="0075177A">
        <w:rPr>
          <w:rFonts w:ascii="Arial" w:hAnsi="Arial" w:cs="Arial"/>
        </w:rPr>
        <w:t>n</w:t>
      </w:r>
      <w:r w:rsidR="00FA4888" w:rsidRPr="003A1565">
        <w:rPr>
          <w:rFonts w:ascii="Arial" w:hAnsi="Arial" w:cs="Arial"/>
        </w:rPr>
        <w:t xml:space="preserve"> Beschilderung im Alpinen Bereich</w:t>
      </w:r>
    </w:p>
    <w:p w:rsidR="00FA4888" w:rsidRDefault="00FA4888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Gemeinsam</w:t>
      </w:r>
      <w:r w:rsidR="00BD427B" w:rsidRPr="003A1565">
        <w:rPr>
          <w:rFonts w:ascii="Arial" w:hAnsi="Arial" w:cs="Arial"/>
        </w:rPr>
        <w:t>er</w:t>
      </w:r>
      <w:r w:rsidRPr="003A1565">
        <w:rPr>
          <w:rFonts w:ascii="Arial" w:hAnsi="Arial" w:cs="Arial"/>
        </w:rPr>
        <w:t xml:space="preserve"> </w:t>
      </w:r>
      <w:r w:rsidR="00BD427B" w:rsidRPr="003A1565">
        <w:rPr>
          <w:rFonts w:ascii="Arial" w:hAnsi="Arial" w:cs="Arial"/>
        </w:rPr>
        <w:t xml:space="preserve">Außenauftritt </w:t>
      </w:r>
      <w:r w:rsidRPr="003A1565">
        <w:rPr>
          <w:rFonts w:ascii="Arial" w:hAnsi="Arial" w:cs="Arial"/>
        </w:rPr>
        <w:t>unter Nutzung der Marken Slowenien und Steiermark</w:t>
      </w:r>
    </w:p>
    <w:p w:rsidR="001A5BFF" w:rsidRPr="003A1565" w:rsidRDefault="001A5BFF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Gemeinsame </w:t>
      </w:r>
      <w:r w:rsidR="002C1E33">
        <w:rPr>
          <w:rFonts w:ascii="Arial" w:hAnsi="Arial" w:cs="Arial"/>
        </w:rPr>
        <w:t>Werbung</w:t>
      </w:r>
      <w:r>
        <w:rPr>
          <w:rFonts w:ascii="Arial" w:hAnsi="Arial" w:cs="Arial"/>
        </w:rPr>
        <w:t xml:space="preserve"> in den Medien</w:t>
      </w:r>
    </w:p>
    <w:p w:rsidR="0075282D" w:rsidRDefault="0075282D" w:rsidP="003A1565">
      <w:pPr>
        <w:jc w:val="both"/>
        <w:rPr>
          <w:rFonts w:ascii="Arial" w:hAnsi="Arial" w:cs="Arial"/>
        </w:rPr>
      </w:pPr>
    </w:p>
    <w:p w:rsidR="0075282D" w:rsidRPr="003A1565" w:rsidRDefault="0075282D" w:rsidP="003A1565">
      <w:pPr>
        <w:jc w:val="both"/>
        <w:rPr>
          <w:rFonts w:ascii="Arial" w:hAnsi="Arial" w:cs="Arial"/>
        </w:rPr>
      </w:pPr>
    </w:p>
    <w:p w:rsidR="00F36647" w:rsidRPr="003A1565" w:rsidRDefault="00EF42C0" w:rsidP="003A1565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 xml:space="preserve">Die Republik Slowenien und das Land Steiermark </w:t>
      </w:r>
      <w:r w:rsidRPr="003A1565">
        <w:rPr>
          <w:rFonts w:ascii="Arial" w:hAnsi="Arial" w:cs="Arial"/>
          <w:b/>
        </w:rPr>
        <w:t>unterstützen die</w:t>
      </w:r>
      <w:r w:rsidR="008F41ED" w:rsidRPr="003A1565">
        <w:rPr>
          <w:rFonts w:ascii="Arial" w:hAnsi="Arial" w:cs="Arial"/>
          <w:b/>
        </w:rPr>
        <w:t xml:space="preserve"> </w:t>
      </w:r>
      <w:r w:rsidR="00F36647" w:rsidRPr="003A1565">
        <w:rPr>
          <w:rFonts w:ascii="Arial" w:hAnsi="Arial" w:cs="Arial"/>
          <w:b/>
        </w:rPr>
        <w:t>Zusammenarbeit zwischen Einrichtungen und Initiativen</w:t>
      </w:r>
      <w:r w:rsidRPr="003A1565">
        <w:rPr>
          <w:rFonts w:ascii="Arial" w:hAnsi="Arial" w:cs="Arial"/>
        </w:rPr>
        <w:t xml:space="preserve"> in folgenden Bereichen:</w:t>
      </w:r>
    </w:p>
    <w:p w:rsidR="00F36647" w:rsidRPr="003A1565" w:rsidRDefault="002C1E33" w:rsidP="003A1565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Kultur und Bildung</w:t>
      </w:r>
    </w:p>
    <w:p w:rsidR="00EF42C0" w:rsidRDefault="00EF42C0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Zusammenarbeit von Kultureinrichtungen, etwa im Rahmen der Alpe-Adria-Allianz auf Projektebene</w:t>
      </w:r>
    </w:p>
    <w:p w:rsidR="004572A8" w:rsidRPr="001009B2" w:rsidRDefault="001009B2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Förderung der gemeinsamen </w:t>
      </w:r>
      <w:r w:rsidR="004572A8" w:rsidRPr="001009B2">
        <w:rPr>
          <w:rFonts w:ascii="Arial" w:hAnsi="Arial" w:cs="Arial"/>
        </w:rPr>
        <w:t>Projekte</w:t>
      </w:r>
    </w:p>
    <w:p w:rsidR="00DF664B" w:rsidRPr="003A1565" w:rsidRDefault="00DF664B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Zusammenarbeit von Bildungseinrichtungen im Bereich von Austauschprogrammen und EU-Projekten</w:t>
      </w:r>
    </w:p>
    <w:p w:rsidR="0047159C" w:rsidRDefault="0047159C" w:rsidP="0047159C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Zusammenarbeit der Bibliotheken insbesondere hinsichtlich der Nutzung slowenischer Literatur in der Steiermark und österreichischer Literatur in Slowenien</w:t>
      </w:r>
    </w:p>
    <w:p w:rsidR="00E8615B" w:rsidRDefault="00E8615B" w:rsidP="002C1E33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Wirtschaft</w:t>
      </w:r>
    </w:p>
    <w:p w:rsidR="00E8615B" w:rsidRDefault="00E8615B" w:rsidP="00E8615B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Möglichkeiten einer stärkeren Zusammenarbeit</w:t>
      </w:r>
    </w:p>
    <w:p w:rsidR="00DF664B" w:rsidRPr="003A1565" w:rsidRDefault="00DF664B" w:rsidP="003A1565">
      <w:pPr>
        <w:ind w:left="708"/>
        <w:jc w:val="both"/>
        <w:rPr>
          <w:rFonts w:ascii="Arial" w:hAnsi="Arial" w:cs="Arial"/>
        </w:rPr>
      </w:pPr>
    </w:p>
    <w:p w:rsidR="00EF42C0" w:rsidRPr="003A1565" w:rsidRDefault="00EF42C0" w:rsidP="003A1565">
      <w:pPr>
        <w:jc w:val="both"/>
        <w:rPr>
          <w:rFonts w:ascii="Arial" w:hAnsi="Arial" w:cs="Arial"/>
        </w:rPr>
      </w:pPr>
    </w:p>
    <w:p w:rsidR="00FA4888" w:rsidRPr="003A1565" w:rsidRDefault="00FA4888" w:rsidP="003A1565">
      <w:pPr>
        <w:jc w:val="both"/>
        <w:rPr>
          <w:rFonts w:ascii="Arial" w:hAnsi="Arial" w:cs="Arial"/>
        </w:rPr>
      </w:pPr>
    </w:p>
    <w:p w:rsidR="00FA4888" w:rsidRPr="003A1565" w:rsidRDefault="00FA4888" w:rsidP="003A1565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 xml:space="preserve">Die Republik Slowenien und das Land Steiermark führen einen </w:t>
      </w:r>
      <w:r w:rsidRPr="003A1565">
        <w:rPr>
          <w:rFonts w:ascii="Arial" w:hAnsi="Arial" w:cs="Arial"/>
          <w:b/>
        </w:rPr>
        <w:t>Erfahrungsaustausch</w:t>
      </w:r>
      <w:r w:rsidRPr="003A1565">
        <w:rPr>
          <w:rFonts w:ascii="Arial" w:hAnsi="Arial" w:cs="Arial"/>
        </w:rPr>
        <w:t xml:space="preserve"> zu folgenden Themen durch:</w:t>
      </w:r>
    </w:p>
    <w:p w:rsidR="00FA4888" w:rsidRPr="003A1565" w:rsidRDefault="00FA4888" w:rsidP="003A1565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 xml:space="preserve">Verwaltung und öffentlicher Dienst: </w:t>
      </w:r>
      <w:r w:rsidRPr="003A1565">
        <w:rPr>
          <w:rFonts w:ascii="Arial" w:hAnsi="Arial" w:cs="Arial"/>
        </w:rPr>
        <w:tab/>
      </w:r>
    </w:p>
    <w:p w:rsidR="00FA4888" w:rsidRPr="003A1565" w:rsidRDefault="00E75D11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Wirksamkeit des</w:t>
      </w:r>
      <w:r w:rsidR="00FA4888" w:rsidRPr="003A1565">
        <w:rPr>
          <w:rFonts w:ascii="Arial" w:hAnsi="Arial" w:cs="Arial"/>
        </w:rPr>
        <w:t xml:space="preserve"> öffentlichen Dienst</w:t>
      </w:r>
      <w:r w:rsidR="00F53BF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(Human Resources Management, Aus- und </w:t>
      </w:r>
      <w:r w:rsidR="001009B2">
        <w:rPr>
          <w:rFonts w:ascii="Arial" w:hAnsi="Arial" w:cs="Arial"/>
        </w:rPr>
        <w:t>Fort</w:t>
      </w:r>
      <w:r>
        <w:rPr>
          <w:rFonts w:ascii="Arial" w:hAnsi="Arial" w:cs="Arial"/>
        </w:rPr>
        <w:t>bildung, Entlohnung, Austausch)</w:t>
      </w:r>
    </w:p>
    <w:p w:rsidR="00FA4888" w:rsidRPr="003A1565" w:rsidRDefault="00E75D11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Qualität des öffentlichen Dienst</w:t>
      </w:r>
      <w:r w:rsidR="00F53BF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und </w:t>
      </w:r>
      <w:r w:rsidR="00FA4888" w:rsidRPr="003A1565">
        <w:rPr>
          <w:rFonts w:ascii="Arial" w:hAnsi="Arial" w:cs="Arial"/>
        </w:rPr>
        <w:t>Verfahrensvereinfachung</w:t>
      </w:r>
    </w:p>
    <w:p w:rsidR="00FA4888" w:rsidRPr="003A1565" w:rsidRDefault="00FA4888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 w:rsidRPr="003A1565">
        <w:rPr>
          <w:rFonts w:ascii="Arial" w:hAnsi="Arial" w:cs="Arial"/>
        </w:rPr>
        <w:t>Methoden des Verwaltungsmanagement</w:t>
      </w:r>
      <w:r w:rsidR="003A1565" w:rsidRPr="003A1565">
        <w:rPr>
          <w:rFonts w:ascii="Arial" w:hAnsi="Arial" w:cs="Arial"/>
        </w:rPr>
        <w:t>s</w:t>
      </w:r>
      <w:r w:rsidRPr="003A1565">
        <w:rPr>
          <w:rFonts w:ascii="Arial" w:hAnsi="Arial" w:cs="Arial"/>
        </w:rPr>
        <w:t xml:space="preserve"> </w:t>
      </w:r>
    </w:p>
    <w:p w:rsidR="0078611F" w:rsidRPr="003A1565" w:rsidRDefault="001009B2" w:rsidP="003A1565">
      <w:pPr>
        <w:pStyle w:val="Listenabsatz"/>
        <w:numPr>
          <w:ilvl w:val="1"/>
          <w:numId w:val="2"/>
        </w:numPr>
        <w:jc w:val="both"/>
        <w:rPr>
          <w:rFonts w:ascii="Arial" w:hAnsi="Arial" w:cs="Arial"/>
        </w:rPr>
      </w:pPr>
      <w:r w:rsidRPr="001009B2">
        <w:rPr>
          <w:rFonts w:ascii="Arial" w:hAnsi="Arial" w:cs="Arial"/>
        </w:rPr>
        <w:t>Örtliche</w:t>
      </w:r>
      <w:r>
        <w:rPr>
          <w:rFonts w:ascii="Arial" w:hAnsi="Arial" w:cs="Arial"/>
        </w:rPr>
        <w:t xml:space="preserve"> O</w:t>
      </w:r>
      <w:r w:rsidR="0078611F" w:rsidRPr="001009B2">
        <w:rPr>
          <w:rFonts w:ascii="Arial" w:hAnsi="Arial" w:cs="Arial"/>
        </w:rPr>
        <w:t>rganisation</w:t>
      </w:r>
      <w:r w:rsidR="007861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öffentlichen Verwaltung </w:t>
      </w:r>
      <w:r w:rsidR="0078611F">
        <w:rPr>
          <w:rFonts w:ascii="Arial" w:hAnsi="Arial" w:cs="Arial"/>
        </w:rPr>
        <w:t>(</w:t>
      </w:r>
      <w:r w:rsidR="0078611F" w:rsidRPr="00D95B1D">
        <w:rPr>
          <w:rFonts w:ascii="Arial" w:hAnsi="Arial" w:cs="Arial"/>
        </w:rPr>
        <w:t>Gemeindezusammenlegung</w:t>
      </w:r>
      <w:r w:rsidR="0078611F">
        <w:rPr>
          <w:rFonts w:ascii="Arial" w:hAnsi="Arial" w:cs="Arial"/>
        </w:rPr>
        <w:t xml:space="preserve">, </w:t>
      </w:r>
      <w:r w:rsidR="00F53BF4">
        <w:rPr>
          <w:rFonts w:ascii="Arial" w:hAnsi="Arial" w:cs="Arial"/>
        </w:rPr>
        <w:t>R</w:t>
      </w:r>
      <w:r w:rsidR="0078611F">
        <w:rPr>
          <w:rFonts w:ascii="Arial" w:hAnsi="Arial" w:cs="Arial"/>
        </w:rPr>
        <w:t>eorganis</w:t>
      </w:r>
      <w:r w:rsidR="00F53BF4">
        <w:rPr>
          <w:rFonts w:ascii="Arial" w:hAnsi="Arial" w:cs="Arial"/>
        </w:rPr>
        <w:t>ation</w:t>
      </w:r>
      <w:r w:rsidR="0078611F">
        <w:rPr>
          <w:rFonts w:ascii="Arial" w:hAnsi="Arial" w:cs="Arial"/>
        </w:rPr>
        <w:t xml:space="preserve"> der Verwaltungseinheiten)  </w:t>
      </w:r>
    </w:p>
    <w:p w:rsidR="00FA4888" w:rsidRPr="003A1565" w:rsidRDefault="00FA4888" w:rsidP="003A1565">
      <w:pPr>
        <w:jc w:val="both"/>
        <w:rPr>
          <w:rFonts w:ascii="Arial" w:hAnsi="Arial" w:cs="Arial"/>
        </w:rPr>
      </w:pPr>
    </w:p>
    <w:p w:rsidR="00F36647" w:rsidRPr="003A1565" w:rsidRDefault="00F36647" w:rsidP="003A1565">
      <w:pPr>
        <w:jc w:val="both"/>
        <w:rPr>
          <w:rFonts w:ascii="Arial" w:hAnsi="Arial" w:cs="Arial"/>
        </w:rPr>
      </w:pPr>
    </w:p>
    <w:p w:rsidR="00F36647" w:rsidRPr="003A1565" w:rsidRDefault="00F36647" w:rsidP="003A1565">
      <w:pPr>
        <w:jc w:val="both"/>
        <w:rPr>
          <w:rFonts w:ascii="Arial" w:hAnsi="Arial" w:cs="Arial"/>
        </w:rPr>
      </w:pPr>
    </w:p>
    <w:sectPr w:rsidR="00F36647" w:rsidRPr="003A1565" w:rsidSect="0046255B">
      <w:head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2A" w:rsidRDefault="0017702A" w:rsidP="00F36647">
      <w:r>
        <w:separator/>
      </w:r>
    </w:p>
  </w:endnote>
  <w:endnote w:type="continuationSeparator" w:id="0">
    <w:p w:rsidR="0017702A" w:rsidRDefault="0017702A" w:rsidP="00F3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2A" w:rsidRDefault="0017702A" w:rsidP="00F36647">
      <w:r>
        <w:separator/>
      </w:r>
    </w:p>
  </w:footnote>
  <w:footnote w:type="continuationSeparator" w:id="0">
    <w:p w:rsidR="0017702A" w:rsidRDefault="0017702A" w:rsidP="00F3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2D" w:rsidRDefault="002D30A1">
    <w:pPr>
      <w:pStyle w:val="Kopfzeile"/>
    </w:pPr>
    <w:r w:rsidRPr="0075282D"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3B64C65C" wp14:editId="241A91CA">
          <wp:simplePos x="0" y="0"/>
          <wp:positionH relativeFrom="column">
            <wp:posOffset>-189230</wp:posOffset>
          </wp:positionH>
          <wp:positionV relativeFrom="line">
            <wp:posOffset>48260</wp:posOffset>
          </wp:positionV>
          <wp:extent cx="635000" cy="816610"/>
          <wp:effectExtent l="0" t="0" r="0" b="2540"/>
          <wp:wrapTight wrapText="bothSides">
            <wp:wrapPolygon edited="0">
              <wp:start x="4536" y="0"/>
              <wp:lineTo x="0" y="504"/>
              <wp:lineTo x="0" y="12093"/>
              <wp:lineTo x="1296" y="16124"/>
              <wp:lineTo x="7128" y="21163"/>
              <wp:lineTo x="12960" y="21163"/>
              <wp:lineTo x="19440" y="16124"/>
              <wp:lineTo x="20736" y="8062"/>
              <wp:lineTo x="20736" y="2016"/>
              <wp:lineTo x="20088" y="504"/>
              <wp:lineTo x="16200" y="0"/>
              <wp:lineTo x="4536" y="0"/>
            </wp:wrapPolygon>
          </wp:wrapTight>
          <wp:docPr id="37" name="Grafik 37" descr="C:\Users\steinba1\Documents\wappen-slovenie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 descr="C:\Users\steinba1\Documents\wappen-slovenien.em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82D" w:rsidRPr="0075282D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2A57A81C" wp14:editId="7FD8F6B6">
          <wp:simplePos x="0" y="0"/>
          <wp:positionH relativeFrom="column">
            <wp:posOffset>5627370</wp:posOffset>
          </wp:positionH>
          <wp:positionV relativeFrom="line">
            <wp:posOffset>-156845</wp:posOffset>
          </wp:positionV>
          <wp:extent cx="610870" cy="991235"/>
          <wp:effectExtent l="0" t="0" r="0" b="0"/>
          <wp:wrapTight wrapText="bothSides">
            <wp:wrapPolygon edited="0">
              <wp:start x="0" y="0"/>
              <wp:lineTo x="0" y="21171"/>
              <wp:lineTo x="20881" y="21171"/>
              <wp:lineTo x="20881" y="0"/>
              <wp:lineTo x="0" y="0"/>
            </wp:wrapPolygon>
          </wp:wrapTight>
          <wp:docPr id="1" name="Bild 1" descr="N:\Außenbeziehungen\Schweighofer\Sonstiges\Bilder\Landeswappen_Steier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N:\Außenbeziehungen\Schweighofer\Sonstiges\Bilder\Landeswappen_Steiermark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4B8"/>
    <w:multiLevelType w:val="hybridMultilevel"/>
    <w:tmpl w:val="C6462552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8465188"/>
    <w:multiLevelType w:val="hybridMultilevel"/>
    <w:tmpl w:val="2FC4E1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064D4"/>
    <w:multiLevelType w:val="hybridMultilevel"/>
    <w:tmpl w:val="923A2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B5141"/>
    <w:multiLevelType w:val="hybridMultilevel"/>
    <w:tmpl w:val="282EB23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2528"/>
    <w:multiLevelType w:val="hybridMultilevel"/>
    <w:tmpl w:val="D88623C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47"/>
    <w:rsid w:val="00000566"/>
    <w:rsid w:val="00000AC6"/>
    <w:rsid w:val="00001EFE"/>
    <w:rsid w:val="0000556B"/>
    <w:rsid w:val="00006F48"/>
    <w:rsid w:val="00011AF8"/>
    <w:rsid w:val="000250E7"/>
    <w:rsid w:val="00026B34"/>
    <w:rsid w:val="0003604D"/>
    <w:rsid w:val="0004174E"/>
    <w:rsid w:val="000422AF"/>
    <w:rsid w:val="0005539D"/>
    <w:rsid w:val="0005761C"/>
    <w:rsid w:val="00057F14"/>
    <w:rsid w:val="00065CC0"/>
    <w:rsid w:val="00074260"/>
    <w:rsid w:val="00081034"/>
    <w:rsid w:val="0008452F"/>
    <w:rsid w:val="00085807"/>
    <w:rsid w:val="00086AC0"/>
    <w:rsid w:val="000915B9"/>
    <w:rsid w:val="000A1E5B"/>
    <w:rsid w:val="000B369C"/>
    <w:rsid w:val="000B5C79"/>
    <w:rsid w:val="000D1374"/>
    <w:rsid w:val="000D21D5"/>
    <w:rsid w:val="000D2DC6"/>
    <w:rsid w:val="000D658D"/>
    <w:rsid w:val="001009B2"/>
    <w:rsid w:val="00114DD7"/>
    <w:rsid w:val="0014016B"/>
    <w:rsid w:val="00144E1D"/>
    <w:rsid w:val="00147A45"/>
    <w:rsid w:val="00156CC6"/>
    <w:rsid w:val="0015795E"/>
    <w:rsid w:val="00160C5C"/>
    <w:rsid w:val="00164C05"/>
    <w:rsid w:val="00171619"/>
    <w:rsid w:val="001743E6"/>
    <w:rsid w:val="0017702A"/>
    <w:rsid w:val="00180B91"/>
    <w:rsid w:val="00181FD8"/>
    <w:rsid w:val="00184BC8"/>
    <w:rsid w:val="001854E0"/>
    <w:rsid w:val="0019482D"/>
    <w:rsid w:val="001954CE"/>
    <w:rsid w:val="001A1791"/>
    <w:rsid w:val="001A5BFF"/>
    <w:rsid w:val="001B7343"/>
    <w:rsid w:val="001B7CE7"/>
    <w:rsid w:val="001C2979"/>
    <w:rsid w:val="001D0086"/>
    <w:rsid w:val="001D08C7"/>
    <w:rsid w:val="001D614C"/>
    <w:rsid w:val="001D61E2"/>
    <w:rsid w:val="001D6405"/>
    <w:rsid w:val="001D7690"/>
    <w:rsid w:val="001E5176"/>
    <w:rsid w:val="00205E55"/>
    <w:rsid w:val="00220363"/>
    <w:rsid w:val="0022507D"/>
    <w:rsid w:val="00254083"/>
    <w:rsid w:val="002631C4"/>
    <w:rsid w:val="00270BF2"/>
    <w:rsid w:val="002765FF"/>
    <w:rsid w:val="00294BA8"/>
    <w:rsid w:val="0029638C"/>
    <w:rsid w:val="00297D93"/>
    <w:rsid w:val="002B0706"/>
    <w:rsid w:val="002C1E33"/>
    <w:rsid w:val="002C2540"/>
    <w:rsid w:val="002C5B13"/>
    <w:rsid w:val="002D2537"/>
    <w:rsid w:val="002D30A1"/>
    <w:rsid w:val="002D47EF"/>
    <w:rsid w:val="002D51A2"/>
    <w:rsid w:val="002F29BB"/>
    <w:rsid w:val="0032357F"/>
    <w:rsid w:val="003356AD"/>
    <w:rsid w:val="00341B96"/>
    <w:rsid w:val="0034330F"/>
    <w:rsid w:val="00343FBE"/>
    <w:rsid w:val="00385377"/>
    <w:rsid w:val="003861D1"/>
    <w:rsid w:val="00392E7A"/>
    <w:rsid w:val="003A002A"/>
    <w:rsid w:val="003A1565"/>
    <w:rsid w:val="003A2935"/>
    <w:rsid w:val="003A7474"/>
    <w:rsid w:val="003B0D97"/>
    <w:rsid w:val="003B1D2F"/>
    <w:rsid w:val="003C4C57"/>
    <w:rsid w:val="003C60D3"/>
    <w:rsid w:val="003D02B7"/>
    <w:rsid w:val="003D31EF"/>
    <w:rsid w:val="003D404A"/>
    <w:rsid w:val="003E1077"/>
    <w:rsid w:val="003F0C7A"/>
    <w:rsid w:val="003F3A56"/>
    <w:rsid w:val="00401440"/>
    <w:rsid w:val="00401E43"/>
    <w:rsid w:val="00402DBF"/>
    <w:rsid w:val="00404FCA"/>
    <w:rsid w:val="00405E1B"/>
    <w:rsid w:val="004070F3"/>
    <w:rsid w:val="00417913"/>
    <w:rsid w:val="004273BA"/>
    <w:rsid w:val="00442C09"/>
    <w:rsid w:val="00445E22"/>
    <w:rsid w:val="0044676C"/>
    <w:rsid w:val="00450DF0"/>
    <w:rsid w:val="004520E0"/>
    <w:rsid w:val="004550CC"/>
    <w:rsid w:val="004572A8"/>
    <w:rsid w:val="0046255B"/>
    <w:rsid w:val="00462EA1"/>
    <w:rsid w:val="00470B1E"/>
    <w:rsid w:val="0047159C"/>
    <w:rsid w:val="00474363"/>
    <w:rsid w:val="00475309"/>
    <w:rsid w:val="00481A05"/>
    <w:rsid w:val="004A235D"/>
    <w:rsid w:val="004A571A"/>
    <w:rsid w:val="004A6D10"/>
    <w:rsid w:val="004B1A4B"/>
    <w:rsid w:val="004B3605"/>
    <w:rsid w:val="004B6C1A"/>
    <w:rsid w:val="004B7975"/>
    <w:rsid w:val="004C0087"/>
    <w:rsid w:val="004C548E"/>
    <w:rsid w:val="004D0DEF"/>
    <w:rsid w:val="004D1A50"/>
    <w:rsid w:val="004F12E7"/>
    <w:rsid w:val="004F76C1"/>
    <w:rsid w:val="00500480"/>
    <w:rsid w:val="005060A0"/>
    <w:rsid w:val="00506C8E"/>
    <w:rsid w:val="00510FA5"/>
    <w:rsid w:val="00512DBE"/>
    <w:rsid w:val="005162A4"/>
    <w:rsid w:val="00520C5D"/>
    <w:rsid w:val="00526D5B"/>
    <w:rsid w:val="005611D3"/>
    <w:rsid w:val="00562612"/>
    <w:rsid w:val="00592C19"/>
    <w:rsid w:val="00593D7D"/>
    <w:rsid w:val="005A3E56"/>
    <w:rsid w:val="005B116F"/>
    <w:rsid w:val="005B4B0F"/>
    <w:rsid w:val="005C564D"/>
    <w:rsid w:val="005D7E7E"/>
    <w:rsid w:val="005E494E"/>
    <w:rsid w:val="005F108D"/>
    <w:rsid w:val="005F57DE"/>
    <w:rsid w:val="005F6530"/>
    <w:rsid w:val="00604B54"/>
    <w:rsid w:val="00612A23"/>
    <w:rsid w:val="0061335F"/>
    <w:rsid w:val="00624CEE"/>
    <w:rsid w:val="00646501"/>
    <w:rsid w:val="00651515"/>
    <w:rsid w:val="0066027D"/>
    <w:rsid w:val="00665308"/>
    <w:rsid w:val="00680179"/>
    <w:rsid w:val="00682637"/>
    <w:rsid w:val="00694EDF"/>
    <w:rsid w:val="00697EC2"/>
    <w:rsid w:val="006A0086"/>
    <w:rsid w:val="006A33AB"/>
    <w:rsid w:val="006A4DCD"/>
    <w:rsid w:val="006A75F9"/>
    <w:rsid w:val="006B56B6"/>
    <w:rsid w:val="006C4987"/>
    <w:rsid w:val="006D0C22"/>
    <w:rsid w:val="006E5D45"/>
    <w:rsid w:val="00702BEC"/>
    <w:rsid w:val="007110ED"/>
    <w:rsid w:val="00711538"/>
    <w:rsid w:val="0073243F"/>
    <w:rsid w:val="0075177A"/>
    <w:rsid w:val="0075282D"/>
    <w:rsid w:val="00760889"/>
    <w:rsid w:val="0077123B"/>
    <w:rsid w:val="007834CC"/>
    <w:rsid w:val="0078611F"/>
    <w:rsid w:val="0078797E"/>
    <w:rsid w:val="007902EB"/>
    <w:rsid w:val="00791464"/>
    <w:rsid w:val="007929AC"/>
    <w:rsid w:val="007A46A1"/>
    <w:rsid w:val="007A4E4B"/>
    <w:rsid w:val="007A5D34"/>
    <w:rsid w:val="007B289D"/>
    <w:rsid w:val="007B2BE5"/>
    <w:rsid w:val="007B76D3"/>
    <w:rsid w:val="007C325F"/>
    <w:rsid w:val="007C5E64"/>
    <w:rsid w:val="007D3FE6"/>
    <w:rsid w:val="007E0189"/>
    <w:rsid w:val="007E2408"/>
    <w:rsid w:val="008037A0"/>
    <w:rsid w:val="00804537"/>
    <w:rsid w:val="00817027"/>
    <w:rsid w:val="00821E02"/>
    <w:rsid w:val="0084157A"/>
    <w:rsid w:val="00850361"/>
    <w:rsid w:val="00851EEB"/>
    <w:rsid w:val="00865936"/>
    <w:rsid w:val="00870891"/>
    <w:rsid w:val="00871D6F"/>
    <w:rsid w:val="00874BB6"/>
    <w:rsid w:val="00881A04"/>
    <w:rsid w:val="0089024C"/>
    <w:rsid w:val="00891DC2"/>
    <w:rsid w:val="00897EF8"/>
    <w:rsid w:val="008B1FAE"/>
    <w:rsid w:val="008C6D5A"/>
    <w:rsid w:val="008E05A1"/>
    <w:rsid w:val="008F1F90"/>
    <w:rsid w:val="008F29E6"/>
    <w:rsid w:val="008F3442"/>
    <w:rsid w:val="008F41ED"/>
    <w:rsid w:val="00902A80"/>
    <w:rsid w:val="00913DC1"/>
    <w:rsid w:val="00917495"/>
    <w:rsid w:val="00925302"/>
    <w:rsid w:val="00942CCA"/>
    <w:rsid w:val="00944219"/>
    <w:rsid w:val="00962F06"/>
    <w:rsid w:val="00964474"/>
    <w:rsid w:val="0096792E"/>
    <w:rsid w:val="00973372"/>
    <w:rsid w:val="0097510F"/>
    <w:rsid w:val="009A344A"/>
    <w:rsid w:val="009A5DD1"/>
    <w:rsid w:val="009A6878"/>
    <w:rsid w:val="009B7419"/>
    <w:rsid w:val="009C4067"/>
    <w:rsid w:val="009C4FB4"/>
    <w:rsid w:val="009C572C"/>
    <w:rsid w:val="009D1C1F"/>
    <w:rsid w:val="009D24AA"/>
    <w:rsid w:val="009D2ECE"/>
    <w:rsid w:val="009D34A8"/>
    <w:rsid w:val="009E5F10"/>
    <w:rsid w:val="009E7A0B"/>
    <w:rsid w:val="009E7D37"/>
    <w:rsid w:val="009F4FCF"/>
    <w:rsid w:val="00A025EE"/>
    <w:rsid w:val="00A233D3"/>
    <w:rsid w:val="00A27C97"/>
    <w:rsid w:val="00A34E1F"/>
    <w:rsid w:val="00A353FC"/>
    <w:rsid w:val="00A52D19"/>
    <w:rsid w:val="00A633EC"/>
    <w:rsid w:val="00A67D0C"/>
    <w:rsid w:val="00A727BF"/>
    <w:rsid w:val="00A851DE"/>
    <w:rsid w:val="00A877E7"/>
    <w:rsid w:val="00A9008B"/>
    <w:rsid w:val="00AA0229"/>
    <w:rsid w:val="00AA378B"/>
    <w:rsid w:val="00AB4719"/>
    <w:rsid w:val="00AC5550"/>
    <w:rsid w:val="00AD694B"/>
    <w:rsid w:val="00AE6230"/>
    <w:rsid w:val="00AE7F40"/>
    <w:rsid w:val="00AF77AD"/>
    <w:rsid w:val="00B035FB"/>
    <w:rsid w:val="00B0665C"/>
    <w:rsid w:val="00B100AF"/>
    <w:rsid w:val="00B32A1A"/>
    <w:rsid w:val="00B419B7"/>
    <w:rsid w:val="00B44B11"/>
    <w:rsid w:val="00B4619C"/>
    <w:rsid w:val="00B50385"/>
    <w:rsid w:val="00B515B7"/>
    <w:rsid w:val="00B5211A"/>
    <w:rsid w:val="00B547C1"/>
    <w:rsid w:val="00B61BB8"/>
    <w:rsid w:val="00B6306D"/>
    <w:rsid w:val="00B6349C"/>
    <w:rsid w:val="00B80B9B"/>
    <w:rsid w:val="00BB280C"/>
    <w:rsid w:val="00BB5914"/>
    <w:rsid w:val="00BD0F1B"/>
    <w:rsid w:val="00BD427B"/>
    <w:rsid w:val="00BD5B5F"/>
    <w:rsid w:val="00BE0DFF"/>
    <w:rsid w:val="00BE4780"/>
    <w:rsid w:val="00BF2174"/>
    <w:rsid w:val="00C100C1"/>
    <w:rsid w:val="00C25C0E"/>
    <w:rsid w:val="00C2678D"/>
    <w:rsid w:val="00C34AF6"/>
    <w:rsid w:val="00C40F28"/>
    <w:rsid w:val="00C4405D"/>
    <w:rsid w:val="00C47E86"/>
    <w:rsid w:val="00C53673"/>
    <w:rsid w:val="00C7477E"/>
    <w:rsid w:val="00C93C4C"/>
    <w:rsid w:val="00CA1F61"/>
    <w:rsid w:val="00CA2E38"/>
    <w:rsid w:val="00CA42B5"/>
    <w:rsid w:val="00CA5355"/>
    <w:rsid w:val="00CA54E3"/>
    <w:rsid w:val="00CA6C68"/>
    <w:rsid w:val="00CB022B"/>
    <w:rsid w:val="00CB3B93"/>
    <w:rsid w:val="00CD23BC"/>
    <w:rsid w:val="00CD7102"/>
    <w:rsid w:val="00CE0893"/>
    <w:rsid w:val="00CE12E4"/>
    <w:rsid w:val="00CF50EF"/>
    <w:rsid w:val="00D24341"/>
    <w:rsid w:val="00D26849"/>
    <w:rsid w:val="00D349ED"/>
    <w:rsid w:val="00D5508F"/>
    <w:rsid w:val="00D6564E"/>
    <w:rsid w:val="00D731AB"/>
    <w:rsid w:val="00D77514"/>
    <w:rsid w:val="00D77775"/>
    <w:rsid w:val="00D956CE"/>
    <w:rsid w:val="00D95B1D"/>
    <w:rsid w:val="00DA1386"/>
    <w:rsid w:val="00DA4A6F"/>
    <w:rsid w:val="00DA5058"/>
    <w:rsid w:val="00DA5596"/>
    <w:rsid w:val="00DB22DE"/>
    <w:rsid w:val="00DB4EC4"/>
    <w:rsid w:val="00DB6FD4"/>
    <w:rsid w:val="00DD0297"/>
    <w:rsid w:val="00DD7D4D"/>
    <w:rsid w:val="00DF182A"/>
    <w:rsid w:val="00DF1D67"/>
    <w:rsid w:val="00DF664B"/>
    <w:rsid w:val="00E006E5"/>
    <w:rsid w:val="00E222E0"/>
    <w:rsid w:val="00E252A4"/>
    <w:rsid w:val="00E30358"/>
    <w:rsid w:val="00E353DC"/>
    <w:rsid w:val="00E41C58"/>
    <w:rsid w:val="00E41D61"/>
    <w:rsid w:val="00E516E4"/>
    <w:rsid w:val="00E64F95"/>
    <w:rsid w:val="00E712CC"/>
    <w:rsid w:val="00E74F31"/>
    <w:rsid w:val="00E75D11"/>
    <w:rsid w:val="00E806EF"/>
    <w:rsid w:val="00E8615B"/>
    <w:rsid w:val="00E96304"/>
    <w:rsid w:val="00E97C2A"/>
    <w:rsid w:val="00EC695D"/>
    <w:rsid w:val="00EC6F8C"/>
    <w:rsid w:val="00ED0216"/>
    <w:rsid w:val="00EF331C"/>
    <w:rsid w:val="00EF42C0"/>
    <w:rsid w:val="00F02856"/>
    <w:rsid w:val="00F06060"/>
    <w:rsid w:val="00F21D98"/>
    <w:rsid w:val="00F338E7"/>
    <w:rsid w:val="00F36647"/>
    <w:rsid w:val="00F42D20"/>
    <w:rsid w:val="00F42F7C"/>
    <w:rsid w:val="00F46CF1"/>
    <w:rsid w:val="00F53A96"/>
    <w:rsid w:val="00F53BF4"/>
    <w:rsid w:val="00F67916"/>
    <w:rsid w:val="00F70D6E"/>
    <w:rsid w:val="00F84C9F"/>
    <w:rsid w:val="00F87CB3"/>
    <w:rsid w:val="00F95E95"/>
    <w:rsid w:val="00FA0337"/>
    <w:rsid w:val="00FA1C94"/>
    <w:rsid w:val="00FA4888"/>
    <w:rsid w:val="00FC0E89"/>
    <w:rsid w:val="00FC1A43"/>
    <w:rsid w:val="00FC2A97"/>
    <w:rsid w:val="00FC7BF2"/>
    <w:rsid w:val="00FE174C"/>
    <w:rsid w:val="00FE54D7"/>
    <w:rsid w:val="00FE746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66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D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DC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528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282D"/>
  </w:style>
  <w:style w:type="paragraph" w:styleId="Fuzeile">
    <w:name w:val="footer"/>
    <w:basedOn w:val="Standard"/>
    <w:link w:val="FuzeileZchn"/>
    <w:uiPriority w:val="99"/>
    <w:unhideWhenUsed/>
    <w:rsid w:val="00752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2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66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D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DC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528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282D"/>
  </w:style>
  <w:style w:type="paragraph" w:styleId="Fuzeile">
    <w:name w:val="footer"/>
    <w:basedOn w:val="Standard"/>
    <w:link w:val="FuzeileZchn"/>
    <w:uiPriority w:val="99"/>
    <w:unhideWhenUsed/>
    <w:rsid w:val="00752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3226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 Steiermark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Börger</dc:creator>
  <cp:lastModifiedBy>Ingeborg Farcher</cp:lastModifiedBy>
  <cp:revision>2</cp:revision>
  <cp:lastPrinted>2014-05-14T10:16:00Z</cp:lastPrinted>
  <dcterms:created xsi:type="dcterms:W3CDTF">2014-05-14T10:17:00Z</dcterms:created>
  <dcterms:modified xsi:type="dcterms:W3CDTF">2014-05-14T10:17:00Z</dcterms:modified>
</cp:coreProperties>
</file>