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E1" w:rsidRPr="002679E1" w:rsidRDefault="002679E1" w:rsidP="002679E1">
      <w:pPr>
        <w:jc w:val="center"/>
        <w:rPr>
          <w:rFonts w:ascii="Arial" w:hAnsi="Arial"/>
          <w:b/>
          <w:sz w:val="22"/>
          <w:szCs w:val="26"/>
        </w:rPr>
      </w:pPr>
      <w:bookmarkStart w:id="0" w:name="_GoBack"/>
      <w:bookmarkEnd w:id="0"/>
      <w:r w:rsidRPr="002679E1">
        <w:rPr>
          <w:rFonts w:ascii="Arial" w:hAnsi="Arial"/>
          <w:b/>
          <w:sz w:val="22"/>
          <w:szCs w:val="26"/>
        </w:rPr>
        <w:t>Fakten zu Teilzeitbeschäftigung, Einkommen und Führungspositionen</w:t>
      </w:r>
    </w:p>
    <w:p w:rsidR="002679E1" w:rsidRPr="002679E1" w:rsidRDefault="002679E1" w:rsidP="002679E1">
      <w:pPr>
        <w:rPr>
          <w:rFonts w:ascii="Arial" w:hAnsi="Arial"/>
          <w:sz w:val="22"/>
        </w:rPr>
      </w:pPr>
    </w:p>
    <w:p w:rsidR="002679E1" w:rsidRPr="002679E1" w:rsidRDefault="002679E1" w:rsidP="002679E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</w:p>
    <w:p w:rsidR="002679E1" w:rsidRPr="002679E1" w:rsidRDefault="002679E1" w:rsidP="002679E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2679E1">
        <w:rPr>
          <w:rFonts w:ascii="Arial" w:hAnsi="Arial" w:cs="Arial"/>
          <w:b/>
          <w:color w:val="000000"/>
          <w:sz w:val="22"/>
        </w:rPr>
        <w:t>Erwerbstätige Frauen in Teilzeitbeschäftigung</w:t>
      </w:r>
      <w:r w:rsidRPr="002679E1">
        <w:rPr>
          <w:rFonts w:ascii="Arial" w:hAnsi="Arial" w:cs="Arial"/>
          <w:color w:val="000000"/>
          <w:sz w:val="22"/>
        </w:rPr>
        <w:t xml:space="preserve">: Kontinuierliche Steigerung im Langzeitvergleich. </w:t>
      </w:r>
    </w:p>
    <w:p w:rsidR="002679E1" w:rsidRPr="002679E1" w:rsidRDefault="002679E1" w:rsidP="002679E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2679E1">
        <w:rPr>
          <w:rFonts w:ascii="Arial" w:hAnsi="Arial" w:cs="Arial"/>
          <w:color w:val="000000"/>
          <w:sz w:val="22"/>
        </w:rPr>
        <w:t>Teilzeitrate 18 Jahren um 18% erhöht</w:t>
      </w:r>
    </w:p>
    <w:p w:rsidR="002679E1" w:rsidRPr="002679E1" w:rsidRDefault="002679E1" w:rsidP="002679E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683"/>
      </w:tblGrid>
      <w:tr w:rsidR="002679E1" w:rsidRPr="002679E1">
        <w:trPr>
          <w:trHeight w:val="547"/>
        </w:trPr>
        <w:tc>
          <w:tcPr>
            <w:tcW w:w="1535" w:type="dxa"/>
            <w:vAlign w:val="center"/>
          </w:tcPr>
          <w:p w:rsidR="002679E1" w:rsidRPr="002679E1" w:rsidRDefault="002679E1" w:rsidP="003A78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2679E1">
              <w:rPr>
                <w:rFonts w:ascii="Arial" w:hAnsi="Arial" w:cs="Arial"/>
                <w:b/>
                <w:color w:val="000000"/>
              </w:rPr>
              <w:t>Jahre</w:t>
            </w:r>
          </w:p>
        </w:tc>
        <w:tc>
          <w:tcPr>
            <w:tcW w:w="1536" w:type="dxa"/>
          </w:tcPr>
          <w:p w:rsidR="002679E1" w:rsidRPr="002679E1" w:rsidRDefault="002679E1" w:rsidP="003A78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2679E1">
              <w:rPr>
                <w:rFonts w:ascii="Arial" w:hAnsi="Arial" w:cs="Arial"/>
                <w:b/>
                <w:color w:val="000000"/>
              </w:rPr>
              <w:t>Teilzeitquote</w:t>
            </w:r>
          </w:p>
          <w:p w:rsidR="002679E1" w:rsidRPr="002679E1" w:rsidRDefault="002679E1" w:rsidP="003A7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679E1">
              <w:rPr>
                <w:rFonts w:ascii="Arial" w:hAnsi="Arial" w:cs="Arial"/>
                <w:b/>
                <w:color w:val="000000"/>
              </w:rPr>
              <w:t>in %</w:t>
            </w:r>
          </w:p>
        </w:tc>
      </w:tr>
      <w:tr w:rsidR="002679E1" w:rsidRPr="002679E1">
        <w:trPr>
          <w:trHeight w:val="255"/>
        </w:trPr>
        <w:tc>
          <w:tcPr>
            <w:tcW w:w="1535" w:type="dxa"/>
            <w:noWrap/>
            <w:vAlign w:val="center"/>
          </w:tcPr>
          <w:p w:rsidR="002679E1" w:rsidRPr="002679E1" w:rsidRDefault="002679E1" w:rsidP="003A78B4">
            <w:pPr>
              <w:rPr>
                <w:rFonts w:ascii="Arial" w:eastAsia="Times New Roman" w:hAnsi="Arial" w:cs="Arial"/>
                <w:lang w:eastAsia="de-AT"/>
              </w:rPr>
            </w:pPr>
            <w:r w:rsidRPr="002679E1">
              <w:rPr>
                <w:rFonts w:ascii="Arial" w:eastAsia="Times New Roman" w:hAnsi="Arial" w:cs="Arial"/>
                <w:lang w:eastAsia="de-AT"/>
              </w:rPr>
              <w:t>1994</w:t>
            </w:r>
          </w:p>
        </w:tc>
        <w:tc>
          <w:tcPr>
            <w:tcW w:w="1536" w:type="dxa"/>
            <w:noWrap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eastAsia="Times New Roman" w:hAnsi="Arial" w:cs="Arial"/>
                <w:lang w:eastAsia="de-AT"/>
              </w:rPr>
            </w:pPr>
            <w:r w:rsidRPr="002679E1">
              <w:rPr>
                <w:rFonts w:ascii="Arial" w:eastAsia="Times New Roman" w:hAnsi="Arial" w:cs="Arial"/>
                <w:lang w:eastAsia="de-AT"/>
              </w:rPr>
              <w:t>26,0</w:t>
            </w:r>
          </w:p>
        </w:tc>
      </w:tr>
      <w:tr w:rsidR="002679E1" w:rsidRPr="002679E1">
        <w:trPr>
          <w:trHeight w:val="195"/>
        </w:trPr>
        <w:tc>
          <w:tcPr>
            <w:tcW w:w="1535" w:type="dxa"/>
            <w:noWrap/>
            <w:vAlign w:val="center"/>
          </w:tcPr>
          <w:p w:rsidR="002679E1" w:rsidRPr="002679E1" w:rsidRDefault="002679E1" w:rsidP="003A78B4">
            <w:pPr>
              <w:rPr>
                <w:rFonts w:ascii="Arial" w:eastAsia="Times New Roman" w:hAnsi="Arial" w:cs="Arial"/>
                <w:lang w:eastAsia="de-AT"/>
              </w:rPr>
            </w:pPr>
            <w:r w:rsidRPr="002679E1">
              <w:rPr>
                <w:rFonts w:ascii="Arial" w:eastAsia="Times New Roman" w:hAnsi="Arial" w:cs="Arial"/>
                <w:lang w:eastAsia="de-AT"/>
              </w:rPr>
              <w:t>2003</w:t>
            </w:r>
          </w:p>
        </w:tc>
        <w:tc>
          <w:tcPr>
            <w:tcW w:w="1536" w:type="dxa"/>
            <w:noWrap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eastAsia="Times New Roman" w:hAnsi="Arial" w:cs="Arial"/>
                <w:lang w:eastAsia="de-AT"/>
              </w:rPr>
            </w:pPr>
            <w:r w:rsidRPr="002679E1">
              <w:rPr>
                <w:rFonts w:ascii="Arial" w:eastAsia="Times New Roman" w:hAnsi="Arial" w:cs="Arial"/>
                <w:lang w:eastAsia="de-AT"/>
              </w:rPr>
              <w:t>36,0</w:t>
            </w:r>
          </w:p>
        </w:tc>
      </w:tr>
      <w:tr w:rsidR="002679E1" w:rsidRPr="002679E1">
        <w:trPr>
          <w:trHeight w:val="195"/>
        </w:trPr>
        <w:tc>
          <w:tcPr>
            <w:tcW w:w="1535" w:type="dxa"/>
            <w:noWrap/>
            <w:vAlign w:val="center"/>
          </w:tcPr>
          <w:p w:rsidR="002679E1" w:rsidRPr="002679E1" w:rsidRDefault="002679E1" w:rsidP="003A78B4">
            <w:pPr>
              <w:rPr>
                <w:rFonts w:ascii="Arial" w:eastAsia="Times New Roman" w:hAnsi="Arial" w:cs="Arial"/>
                <w:lang w:eastAsia="de-AT"/>
              </w:rPr>
            </w:pPr>
            <w:r w:rsidRPr="002679E1">
              <w:rPr>
                <w:rFonts w:ascii="Arial" w:eastAsia="Times New Roman" w:hAnsi="Arial" w:cs="Arial"/>
                <w:lang w:eastAsia="de-AT"/>
              </w:rPr>
              <w:t>2008</w:t>
            </w:r>
          </w:p>
        </w:tc>
        <w:tc>
          <w:tcPr>
            <w:tcW w:w="1536" w:type="dxa"/>
            <w:noWrap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eastAsia="Times New Roman" w:hAnsi="Arial" w:cs="Arial"/>
                <w:lang w:eastAsia="de-AT"/>
              </w:rPr>
            </w:pPr>
            <w:r w:rsidRPr="002679E1">
              <w:rPr>
                <w:rFonts w:ascii="Arial" w:eastAsia="Times New Roman" w:hAnsi="Arial" w:cs="Arial"/>
                <w:lang w:eastAsia="de-AT"/>
              </w:rPr>
              <w:t>41,5</w:t>
            </w:r>
          </w:p>
        </w:tc>
      </w:tr>
      <w:tr w:rsidR="002679E1" w:rsidRPr="002679E1">
        <w:trPr>
          <w:trHeight w:val="195"/>
        </w:trPr>
        <w:tc>
          <w:tcPr>
            <w:tcW w:w="1535" w:type="dxa"/>
            <w:noWrap/>
            <w:vAlign w:val="center"/>
          </w:tcPr>
          <w:p w:rsidR="002679E1" w:rsidRPr="002679E1" w:rsidRDefault="002679E1" w:rsidP="003A78B4">
            <w:pPr>
              <w:rPr>
                <w:rFonts w:ascii="Arial" w:eastAsia="Times New Roman" w:hAnsi="Arial" w:cs="Arial"/>
                <w:lang w:eastAsia="de-AT"/>
              </w:rPr>
            </w:pPr>
            <w:bookmarkStart w:id="1" w:name="RANGE!A68"/>
            <w:r w:rsidRPr="002679E1">
              <w:rPr>
                <w:rFonts w:ascii="Arial" w:eastAsia="Times New Roman" w:hAnsi="Arial" w:cs="Arial"/>
                <w:lang w:eastAsia="de-AT"/>
              </w:rPr>
              <w:t>2012</w:t>
            </w:r>
            <w:bookmarkEnd w:id="1"/>
          </w:p>
        </w:tc>
        <w:tc>
          <w:tcPr>
            <w:tcW w:w="1536" w:type="dxa"/>
            <w:noWrap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eastAsia="Times New Roman" w:hAnsi="Arial" w:cs="Arial"/>
                <w:lang w:eastAsia="de-AT"/>
              </w:rPr>
            </w:pPr>
            <w:r w:rsidRPr="002679E1">
              <w:rPr>
                <w:rFonts w:ascii="Arial" w:eastAsia="Times New Roman" w:hAnsi="Arial" w:cs="Arial"/>
                <w:lang w:eastAsia="de-AT"/>
              </w:rPr>
              <w:t>44,9</w:t>
            </w:r>
          </w:p>
        </w:tc>
      </w:tr>
    </w:tbl>
    <w:p w:rsidR="002679E1" w:rsidRPr="002679E1" w:rsidRDefault="002679E1" w:rsidP="002679E1">
      <w:pPr>
        <w:rPr>
          <w:rFonts w:ascii="Arial" w:hAnsi="Arial"/>
          <w:sz w:val="22"/>
          <w:szCs w:val="18"/>
        </w:rPr>
      </w:pPr>
      <w:r w:rsidRPr="002679E1">
        <w:rPr>
          <w:rFonts w:ascii="Arial" w:hAnsi="Arial"/>
          <w:sz w:val="22"/>
          <w:szCs w:val="18"/>
        </w:rPr>
        <w:t>Quelle: Statistik Austria</w:t>
      </w:r>
    </w:p>
    <w:p w:rsidR="002679E1" w:rsidRPr="002679E1" w:rsidRDefault="00D53909" w:rsidP="002679E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18"/>
        </w:rPr>
      </w:pPr>
      <w:hyperlink r:id="rId8" w:history="1">
        <w:r w:rsidR="002679E1" w:rsidRPr="002679E1">
          <w:rPr>
            <w:rStyle w:val="Hyperlink"/>
            <w:rFonts w:ascii="Arial" w:hAnsi="Arial" w:cs="Arial"/>
            <w:sz w:val="22"/>
            <w:szCs w:val="18"/>
          </w:rPr>
          <w:t>http://statistik.gv.at/web_de/statistiken/arbeitsmarkt/arbeitszeit/teilzeitarbeit_teilzeitquote/index.html</w:t>
        </w:r>
      </w:hyperlink>
    </w:p>
    <w:p w:rsidR="002679E1" w:rsidRPr="002679E1" w:rsidRDefault="002679E1" w:rsidP="002679E1">
      <w:pPr>
        <w:rPr>
          <w:rFonts w:ascii="Arial" w:hAnsi="Arial"/>
          <w:sz w:val="22"/>
        </w:rPr>
      </w:pPr>
    </w:p>
    <w:p w:rsidR="002679E1" w:rsidRPr="002679E1" w:rsidRDefault="002679E1" w:rsidP="002679E1">
      <w:pPr>
        <w:rPr>
          <w:rFonts w:ascii="Arial" w:hAnsi="Arial"/>
          <w:sz w:val="22"/>
        </w:rPr>
      </w:pPr>
    </w:p>
    <w:p w:rsidR="004F1681" w:rsidRPr="002364E5" w:rsidRDefault="004F1681" w:rsidP="004F1681">
      <w:pPr>
        <w:rPr>
          <w:b/>
        </w:rPr>
      </w:pPr>
      <w:r>
        <w:rPr>
          <w:rFonts w:ascii="Arial" w:hAnsi="Arial"/>
          <w:b/>
          <w:sz w:val="22"/>
        </w:rPr>
        <w:t xml:space="preserve">Gender Pay Gap: </w:t>
      </w:r>
      <w:r w:rsidRPr="002364E5">
        <w:rPr>
          <w:b/>
        </w:rPr>
        <w:t>Österreich 2013</w:t>
      </w:r>
    </w:p>
    <w:p w:rsidR="004F1681" w:rsidRPr="002364E5" w:rsidRDefault="004F1681" w:rsidP="004F1681">
      <w:pPr>
        <w:autoSpaceDE w:val="0"/>
        <w:autoSpaceDN w:val="0"/>
        <w:adjustRightInd w:val="0"/>
        <w:rPr>
          <w:rFonts w:cs="DIN-RegularAlternate"/>
        </w:rPr>
      </w:pPr>
      <w:r w:rsidRPr="002364E5">
        <w:rPr>
          <w:rFonts w:cs="DIN-RegularAlternate"/>
        </w:rPr>
        <w:t xml:space="preserve">Mit Ausnahme von Estland, hat Österreich mit 25,5 % den größten Gender Pay Gap in der EU. </w:t>
      </w:r>
    </w:p>
    <w:p w:rsidR="004F1681" w:rsidRDefault="004F1681" w:rsidP="004F1681"/>
    <w:p w:rsidR="004F1681" w:rsidRDefault="004F1681" w:rsidP="004F1681">
      <w:r>
        <w:rPr>
          <w:noProof/>
          <w:lang w:val="de-AT" w:eastAsia="de-AT"/>
        </w:rPr>
        <w:drawing>
          <wp:inline distT="0" distB="0" distL="0" distR="0">
            <wp:extent cx="5760720" cy="3796081"/>
            <wp:effectExtent l="0" t="0" r="0" b="0"/>
            <wp:docPr id="4" name="Grafik 1" descr="Gender Pay Gap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Gender Pay Gap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81" w:rsidRPr="00C56F61" w:rsidRDefault="004F1681" w:rsidP="004F1681">
      <w:pPr>
        <w:rPr>
          <w:sz w:val="18"/>
          <w:szCs w:val="18"/>
        </w:rPr>
      </w:pPr>
      <w:r w:rsidRPr="00C56F61">
        <w:rPr>
          <w:sz w:val="18"/>
          <w:szCs w:val="18"/>
        </w:rPr>
        <w:t>Quelle: Statistik Austria</w:t>
      </w:r>
    </w:p>
    <w:p w:rsidR="004F1681" w:rsidRPr="00C56F61" w:rsidRDefault="00D53909" w:rsidP="004F1681">
      <w:pPr>
        <w:rPr>
          <w:sz w:val="18"/>
          <w:szCs w:val="18"/>
        </w:rPr>
      </w:pPr>
      <w:hyperlink r:id="rId10" w:history="1">
        <w:r w:rsidR="004F1681" w:rsidRPr="00C56F61">
          <w:rPr>
            <w:rStyle w:val="Hyperlink"/>
            <w:sz w:val="18"/>
            <w:szCs w:val="18"/>
          </w:rPr>
          <w:t>http://www.statistik.at/web_de/statistiken/soziales/gender-statistik/index.html</w:t>
        </w:r>
      </w:hyperlink>
    </w:p>
    <w:p w:rsidR="004F1681" w:rsidRDefault="004F1681" w:rsidP="004F1681"/>
    <w:p w:rsidR="004F1681" w:rsidRDefault="004F1681" w:rsidP="002679E1">
      <w:pPr>
        <w:rPr>
          <w:rFonts w:ascii="Arial" w:hAnsi="Arial"/>
          <w:b/>
          <w:sz w:val="22"/>
        </w:rPr>
      </w:pPr>
    </w:p>
    <w:p w:rsidR="002679E1" w:rsidRPr="002679E1" w:rsidRDefault="002679E1" w:rsidP="002679E1">
      <w:pPr>
        <w:rPr>
          <w:rFonts w:ascii="Arial" w:hAnsi="Arial"/>
          <w:b/>
          <w:sz w:val="22"/>
        </w:rPr>
      </w:pPr>
      <w:r w:rsidRPr="002679E1">
        <w:rPr>
          <w:rFonts w:ascii="Arial" w:hAnsi="Arial"/>
          <w:b/>
          <w:sz w:val="22"/>
        </w:rPr>
        <w:t>Bruttojahreseinkommen der unselbständig Erwerbstätigen nach Berufsgruppen und Geschlecht, Vollzeit – Österreich 2011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605"/>
        <w:gridCol w:w="2751"/>
        <w:gridCol w:w="2751"/>
        <w:gridCol w:w="1782"/>
      </w:tblGrid>
      <w:tr w:rsidR="002679E1" w:rsidRPr="002679E1">
        <w:tc>
          <w:tcPr>
            <w:tcW w:w="2660" w:type="dxa"/>
            <w:vAlign w:val="center"/>
          </w:tcPr>
          <w:p w:rsidR="002679E1" w:rsidRPr="002679E1" w:rsidRDefault="002679E1" w:rsidP="003A78B4">
            <w:pPr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Berufsgruppe</w:t>
            </w:r>
          </w:p>
        </w:tc>
        <w:tc>
          <w:tcPr>
            <w:tcW w:w="2460" w:type="dxa"/>
            <w:vAlign w:val="center"/>
          </w:tcPr>
          <w:p w:rsidR="002679E1" w:rsidRPr="002679E1" w:rsidRDefault="002679E1" w:rsidP="003A78B4">
            <w:pPr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Bruttojahreseinkommen Frauen (Mittelwert)</w:t>
            </w:r>
          </w:p>
        </w:tc>
        <w:tc>
          <w:tcPr>
            <w:tcW w:w="2501" w:type="dxa"/>
            <w:vAlign w:val="center"/>
          </w:tcPr>
          <w:p w:rsidR="002679E1" w:rsidRPr="002679E1" w:rsidRDefault="002679E1" w:rsidP="003A78B4">
            <w:pPr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Bruttojahreseinkommen Männer (Mittelwert)</w:t>
            </w:r>
          </w:p>
        </w:tc>
        <w:tc>
          <w:tcPr>
            <w:tcW w:w="2268" w:type="dxa"/>
          </w:tcPr>
          <w:p w:rsidR="002679E1" w:rsidRPr="002679E1" w:rsidRDefault="002679E1" w:rsidP="003A78B4">
            <w:pPr>
              <w:rPr>
                <w:rFonts w:ascii="Arial" w:hAnsi="Arial"/>
                <w:b/>
                <w:szCs w:val="20"/>
              </w:rPr>
            </w:pPr>
            <w:r w:rsidRPr="002679E1">
              <w:rPr>
                <w:rFonts w:ascii="Arial" w:hAnsi="Arial"/>
                <w:b/>
                <w:szCs w:val="20"/>
              </w:rPr>
              <w:t>Abweichung der Männer in % (Einkommen Frauen als Basis zu 100 %)</w:t>
            </w:r>
          </w:p>
        </w:tc>
      </w:tr>
      <w:tr w:rsidR="002679E1" w:rsidRPr="002679E1">
        <w:tc>
          <w:tcPr>
            <w:tcW w:w="2660" w:type="dxa"/>
            <w:vAlign w:val="center"/>
          </w:tcPr>
          <w:p w:rsidR="002679E1" w:rsidRPr="002679E1" w:rsidRDefault="002679E1" w:rsidP="003A78B4">
            <w:pPr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Leitende Tätigkeit</w:t>
            </w:r>
          </w:p>
        </w:tc>
        <w:tc>
          <w:tcPr>
            <w:tcW w:w="2460" w:type="dxa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€ 53.917</w:t>
            </w:r>
          </w:p>
        </w:tc>
        <w:tc>
          <w:tcPr>
            <w:tcW w:w="2501" w:type="dxa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€ 73.419</w:t>
            </w:r>
          </w:p>
        </w:tc>
        <w:tc>
          <w:tcPr>
            <w:tcW w:w="2268" w:type="dxa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b/>
                <w:szCs w:val="20"/>
              </w:rPr>
            </w:pPr>
            <w:r w:rsidRPr="002679E1">
              <w:rPr>
                <w:rFonts w:ascii="Arial" w:hAnsi="Arial"/>
                <w:b/>
                <w:szCs w:val="20"/>
              </w:rPr>
              <w:t>136 %</w:t>
            </w:r>
          </w:p>
        </w:tc>
      </w:tr>
      <w:tr w:rsidR="002679E1" w:rsidRPr="002679E1">
        <w:tc>
          <w:tcPr>
            <w:tcW w:w="2660" w:type="dxa"/>
            <w:vAlign w:val="center"/>
          </w:tcPr>
          <w:p w:rsidR="002679E1" w:rsidRPr="002679E1" w:rsidRDefault="002679E1" w:rsidP="003A78B4">
            <w:pPr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Akademische Berufe</w:t>
            </w:r>
          </w:p>
        </w:tc>
        <w:tc>
          <w:tcPr>
            <w:tcW w:w="2460" w:type="dxa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€ 47.838</w:t>
            </w:r>
          </w:p>
        </w:tc>
        <w:tc>
          <w:tcPr>
            <w:tcW w:w="2501" w:type="dxa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€ 61.891</w:t>
            </w:r>
          </w:p>
        </w:tc>
        <w:tc>
          <w:tcPr>
            <w:tcW w:w="2268" w:type="dxa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b/>
                <w:szCs w:val="20"/>
              </w:rPr>
            </w:pPr>
            <w:r w:rsidRPr="002679E1">
              <w:rPr>
                <w:rFonts w:ascii="Arial" w:hAnsi="Arial"/>
                <w:b/>
                <w:szCs w:val="20"/>
              </w:rPr>
              <w:t>129 %</w:t>
            </w:r>
          </w:p>
        </w:tc>
      </w:tr>
      <w:tr w:rsidR="002679E1" w:rsidRPr="002679E1">
        <w:tc>
          <w:tcPr>
            <w:tcW w:w="2660" w:type="dxa"/>
            <w:vAlign w:val="center"/>
          </w:tcPr>
          <w:p w:rsidR="002679E1" w:rsidRPr="002679E1" w:rsidRDefault="002679E1" w:rsidP="003A78B4">
            <w:pPr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Technikerinnen und gleichrangige nichttechnische Berufe</w:t>
            </w:r>
          </w:p>
        </w:tc>
        <w:tc>
          <w:tcPr>
            <w:tcW w:w="2460" w:type="dxa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€ 34.041</w:t>
            </w:r>
          </w:p>
        </w:tc>
        <w:tc>
          <w:tcPr>
            <w:tcW w:w="2501" w:type="dxa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€ 46.353</w:t>
            </w:r>
          </w:p>
        </w:tc>
        <w:tc>
          <w:tcPr>
            <w:tcW w:w="2268" w:type="dxa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b/>
                <w:szCs w:val="20"/>
              </w:rPr>
            </w:pPr>
            <w:r w:rsidRPr="002679E1">
              <w:rPr>
                <w:rFonts w:ascii="Arial" w:hAnsi="Arial"/>
                <w:b/>
                <w:szCs w:val="20"/>
              </w:rPr>
              <w:t>136 %</w:t>
            </w:r>
          </w:p>
        </w:tc>
      </w:tr>
      <w:tr w:rsidR="002679E1" w:rsidRPr="002679E1">
        <w:tc>
          <w:tcPr>
            <w:tcW w:w="2660" w:type="dxa"/>
            <w:vAlign w:val="center"/>
          </w:tcPr>
          <w:p w:rsidR="002679E1" w:rsidRPr="002679E1" w:rsidRDefault="002679E1" w:rsidP="003A78B4">
            <w:pPr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Bürokräfte, kaufmännische Angestellte</w:t>
            </w:r>
          </w:p>
        </w:tc>
        <w:tc>
          <w:tcPr>
            <w:tcW w:w="2460" w:type="dxa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€ 29.371</w:t>
            </w:r>
          </w:p>
        </w:tc>
        <w:tc>
          <w:tcPr>
            <w:tcW w:w="2501" w:type="dxa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€ 37.801</w:t>
            </w:r>
          </w:p>
        </w:tc>
        <w:tc>
          <w:tcPr>
            <w:tcW w:w="2268" w:type="dxa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b/>
                <w:szCs w:val="20"/>
              </w:rPr>
            </w:pPr>
            <w:r w:rsidRPr="002679E1">
              <w:rPr>
                <w:rFonts w:ascii="Arial" w:hAnsi="Arial"/>
                <w:b/>
                <w:szCs w:val="20"/>
              </w:rPr>
              <w:t>128 %</w:t>
            </w:r>
          </w:p>
        </w:tc>
      </w:tr>
      <w:tr w:rsidR="002679E1" w:rsidRPr="002679E1">
        <w:tc>
          <w:tcPr>
            <w:tcW w:w="2660" w:type="dxa"/>
            <w:vAlign w:val="center"/>
          </w:tcPr>
          <w:p w:rsidR="002679E1" w:rsidRPr="002679E1" w:rsidRDefault="002679E1" w:rsidP="003A78B4">
            <w:pPr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Dienstleistungsberufe, Verkäuferinnen in Geschäften und auf Märkten</w:t>
            </w:r>
          </w:p>
        </w:tc>
        <w:tc>
          <w:tcPr>
            <w:tcW w:w="2460" w:type="dxa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€ 21.451</w:t>
            </w:r>
          </w:p>
        </w:tc>
        <w:tc>
          <w:tcPr>
            <w:tcW w:w="2501" w:type="dxa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szCs w:val="20"/>
              </w:rPr>
              <w:t>€ 28.469</w:t>
            </w:r>
          </w:p>
        </w:tc>
        <w:tc>
          <w:tcPr>
            <w:tcW w:w="2268" w:type="dxa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b/>
                <w:szCs w:val="20"/>
              </w:rPr>
            </w:pPr>
            <w:r w:rsidRPr="002679E1">
              <w:rPr>
                <w:rFonts w:ascii="Arial" w:hAnsi="Arial"/>
                <w:b/>
                <w:szCs w:val="20"/>
              </w:rPr>
              <w:t>133 %</w:t>
            </w:r>
          </w:p>
        </w:tc>
      </w:tr>
      <w:tr w:rsidR="002679E1" w:rsidRPr="002679E1">
        <w:tc>
          <w:tcPr>
            <w:tcW w:w="7621" w:type="dxa"/>
            <w:gridSpan w:val="3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szCs w:val="20"/>
              </w:rPr>
            </w:pPr>
            <w:r w:rsidRPr="002679E1">
              <w:rPr>
                <w:rFonts w:ascii="Arial" w:hAnsi="Arial"/>
                <w:b/>
                <w:szCs w:val="20"/>
              </w:rPr>
              <w:t>Durchschnittswert</w:t>
            </w:r>
          </w:p>
        </w:tc>
        <w:tc>
          <w:tcPr>
            <w:tcW w:w="2268" w:type="dxa"/>
            <w:vAlign w:val="center"/>
          </w:tcPr>
          <w:p w:rsidR="002679E1" w:rsidRPr="002679E1" w:rsidRDefault="002679E1" w:rsidP="003A78B4">
            <w:pPr>
              <w:jc w:val="center"/>
              <w:rPr>
                <w:rFonts w:ascii="Arial" w:hAnsi="Arial"/>
                <w:b/>
                <w:szCs w:val="20"/>
              </w:rPr>
            </w:pPr>
            <w:r w:rsidRPr="002679E1">
              <w:rPr>
                <w:rFonts w:ascii="Arial" w:hAnsi="Arial"/>
                <w:b/>
                <w:szCs w:val="20"/>
              </w:rPr>
              <w:t>132%</w:t>
            </w:r>
          </w:p>
        </w:tc>
      </w:tr>
    </w:tbl>
    <w:p w:rsidR="002679E1" w:rsidRPr="002679E1" w:rsidRDefault="002679E1" w:rsidP="002679E1">
      <w:pPr>
        <w:rPr>
          <w:rFonts w:ascii="Arial" w:hAnsi="Arial"/>
          <w:sz w:val="22"/>
          <w:szCs w:val="18"/>
        </w:rPr>
      </w:pPr>
      <w:r w:rsidRPr="002679E1">
        <w:rPr>
          <w:rFonts w:ascii="Arial" w:hAnsi="Arial"/>
          <w:sz w:val="22"/>
          <w:szCs w:val="18"/>
        </w:rPr>
        <w:t>Quelle: Statistik Austria</w:t>
      </w:r>
    </w:p>
    <w:p w:rsidR="002679E1" w:rsidRPr="002679E1" w:rsidRDefault="00D53909" w:rsidP="002679E1">
      <w:pPr>
        <w:rPr>
          <w:rFonts w:ascii="Arial" w:hAnsi="Arial"/>
          <w:sz w:val="22"/>
          <w:szCs w:val="18"/>
        </w:rPr>
      </w:pPr>
      <w:hyperlink r:id="rId11" w:history="1">
        <w:r w:rsidR="002679E1" w:rsidRPr="002679E1">
          <w:rPr>
            <w:rStyle w:val="Hyperlink"/>
            <w:rFonts w:ascii="Arial" w:hAnsi="Arial"/>
            <w:sz w:val="22"/>
            <w:szCs w:val="18"/>
          </w:rPr>
          <w:t>https://www.statistik.at/web_de/statistiken/soziales/personen-einkommen/allgemeiner_einkommensbericht/index.html</w:t>
        </w:r>
      </w:hyperlink>
    </w:p>
    <w:p w:rsidR="002679E1" w:rsidRPr="002679E1" w:rsidRDefault="002679E1" w:rsidP="002679E1">
      <w:pPr>
        <w:rPr>
          <w:rFonts w:ascii="Arial" w:hAnsi="Arial"/>
          <w:sz w:val="22"/>
        </w:rPr>
      </w:pPr>
    </w:p>
    <w:p w:rsidR="002679E1" w:rsidRDefault="002679E1" w:rsidP="002679E1">
      <w:pPr>
        <w:rPr>
          <w:rFonts w:ascii="Arial" w:hAnsi="Arial"/>
          <w:b/>
          <w:sz w:val="22"/>
        </w:rPr>
      </w:pPr>
    </w:p>
    <w:p w:rsidR="002679E1" w:rsidRDefault="002679E1" w:rsidP="002679E1">
      <w:pPr>
        <w:rPr>
          <w:rFonts w:ascii="Arial" w:hAnsi="Arial"/>
          <w:b/>
          <w:sz w:val="22"/>
        </w:rPr>
      </w:pPr>
    </w:p>
    <w:p w:rsidR="002679E1" w:rsidRPr="002679E1" w:rsidRDefault="002679E1" w:rsidP="002679E1">
      <w:pPr>
        <w:rPr>
          <w:rFonts w:ascii="Arial" w:hAnsi="Arial"/>
          <w:b/>
          <w:sz w:val="22"/>
        </w:rPr>
      </w:pPr>
      <w:r w:rsidRPr="002679E1">
        <w:rPr>
          <w:rFonts w:ascii="Arial" w:hAnsi="Arial"/>
          <w:b/>
          <w:sz w:val="22"/>
        </w:rPr>
        <w:t>Frauen in Führungspositionen</w:t>
      </w:r>
    </w:p>
    <w:p w:rsidR="002679E1" w:rsidRPr="002679E1" w:rsidRDefault="002679E1" w:rsidP="002679E1">
      <w:pPr>
        <w:rPr>
          <w:rFonts w:ascii="Arial" w:hAnsi="Arial"/>
          <w:sz w:val="22"/>
        </w:rPr>
      </w:pPr>
    </w:p>
    <w:p w:rsidR="002679E1" w:rsidRPr="002679E1" w:rsidRDefault="002679E1" w:rsidP="002679E1">
      <w:pPr>
        <w:rPr>
          <w:rFonts w:ascii="Arial" w:hAnsi="Arial"/>
          <w:b/>
          <w:sz w:val="22"/>
        </w:rPr>
      </w:pPr>
      <w:r w:rsidRPr="002679E1">
        <w:rPr>
          <w:rFonts w:ascii="Arial" w:hAnsi="Arial"/>
          <w:b/>
          <w:sz w:val="22"/>
        </w:rPr>
        <w:t xml:space="preserve">Frauenanteil in der Geschäftsführung der Top 200 österreichischen Unternehmen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843"/>
      </w:tblGrid>
      <w:tr w:rsidR="002679E1" w:rsidRPr="002679E1"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  <w:b/>
              </w:rPr>
            </w:pPr>
            <w:r w:rsidRPr="002679E1">
              <w:rPr>
                <w:rFonts w:ascii="Arial" w:hAnsi="Arial"/>
                <w:b/>
              </w:rPr>
              <w:t>Jahr</w:t>
            </w:r>
          </w:p>
        </w:tc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  <w:b/>
              </w:rPr>
            </w:pPr>
            <w:r w:rsidRPr="002679E1">
              <w:rPr>
                <w:rFonts w:ascii="Arial" w:hAnsi="Arial"/>
                <w:b/>
              </w:rPr>
              <w:t>Frauenanteil in %</w:t>
            </w:r>
          </w:p>
        </w:tc>
      </w:tr>
      <w:tr w:rsidR="002679E1" w:rsidRPr="002679E1"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2013</w:t>
            </w:r>
          </w:p>
        </w:tc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5,6</w:t>
            </w:r>
          </w:p>
        </w:tc>
      </w:tr>
      <w:tr w:rsidR="002679E1" w:rsidRPr="002679E1"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2012</w:t>
            </w:r>
          </w:p>
        </w:tc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5,1</w:t>
            </w:r>
          </w:p>
        </w:tc>
      </w:tr>
      <w:tr w:rsidR="002679E1" w:rsidRPr="002679E1"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2011</w:t>
            </w:r>
          </w:p>
        </w:tc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4,4</w:t>
            </w:r>
          </w:p>
        </w:tc>
      </w:tr>
      <w:tr w:rsidR="002679E1" w:rsidRPr="002679E1"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2010</w:t>
            </w:r>
          </w:p>
        </w:tc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5,3</w:t>
            </w:r>
          </w:p>
        </w:tc>
      </w:tr>
      <w:tr w:rsidR="002679E1" w:rsidRPr="002679E1"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2009</w:t>
            </w:r>
          </w:p>
        </w:tc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4,8</w:t>
            </w:r>
          </w:p>
        </w:tc>
      </w:tr>
      <w:tr w:rsidR="002679E1" w:rsidRPr="002679E1"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2008</w:t>
            </w:r>
          </w:p>
        </w:tc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4,6</w:t>
            </w:r>
          </w:p>
        </w:tc>
      </w:tr>
      <w:tr w:rsidR="002679E1" w:rsidRPr="002679E1"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2007</w:t>
            </w:r>
          </w:p>
        </w:tc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5,0</w:t>
            </w:r>
          </w:p>
        </w:tc>
      </w:tr>
      <w:tr w:rsidR="002679E1" w:rsidRPr="002679E1"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2006</w:t>
            </w:r>
          </w:p>
        </w:tc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3,7</w:t>
            </w:r>
          </w:p>
        </w:tc>
      </w:tr>
      <w:tr w:rsidR="002679E1" w:rsidRPr="002679E1"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2005</w:t>
            </w:r>
          </w:p>
        </w:tc>
        <w:tc>
          <w:tcPr>
            <w:tcW w:w="1843" w:type="dxa"/>
          </w:tcPr>
          <w:p w:rsidR="002679E1" w:rsidRPr="002679E1" w:rsidRDefault="002679E1" w:rsidP="003A78B4">
            <w:pPr>
              <w:rPr>
                <w:rFonts w:ascii="Arial" w:hAnsi="Arial"/>
              </w:rPr>
            </w:pPr>
            <w:r w:rsidRPr="002679E1">
              <w:rPr>
                <w:rFonts w:ascii="Arial" w:hAnsi="Arial"/>
              </w:rPr>
              <w:t>2,9</w:t>
            </w:r>
          </w:p>
        </w:tc>
      </w:tr>
    </w:tbl>
    <w:p w:rsidR="002679E1" w:rsidRPr="002679E1" w:rsidRDefault="002679E1" w:rsidP="002679E1">
      <w:pPr>
        <w:rPr>
          <w:rFonts w:ascii="Arial" w:hAnsi="Arial"/>
          <w:sz w:val="22"/>
        </w:rPr>
      </w:pPr>
      <w:r w:rsidRPr="002679E1">
        <w:rPr>
          <w:rFonts w:ascii="Arial" w:hAnsi="Arial"/>
          <w:b/>
          <w:sz w:val="22"/>
        </w:rPr>
        <w:t xml:space="preserve">Studie der AK Wien - </w:t>
      </w:r>
      <w:r w:rsidRPr="002679E1">
        <w:rPr>
          <w:rFonts w:ascii="Arial" w:hAnsi="Arial"/>
          <w:bCs/>
          <w:sz w:val="22"/>
        </w:rPr>
        <w:t xml:space="preserve">Frauen.Management.Report.2013 </w:t>
      </w:r>
    </w:p>
    <w:p w:rsidR="002679E1" w:rsidRPr="002679E1" w:rsidRDefault="00D53909" w:rsidP="002679E1">
      <w:pPr>
        <w:rPr>
          <w:rFonts w:ascii="Arial" w:hAnsi="Arial"/>
          <w:sz w:val="22"/>
          <w:szCs w:val="18"/>
        </w:rPr>
      </w:pPr>
      <w:hyperlink r:id="rId12" w:history="1">
        <w:r w:rsidR="002679E1" w:rsidRPr="002679E1">
          <w:rPr>
            <w:rStyle w:val="Hyperlink"/>
            <w:rFonts w:ascii="Arial" w:hAnsi="Arial"/>
            <w:sz w:val="22"/>
            <w:szCs w:val="18"/>
          </w:rPr>
          <w:t>http://www.arbeiterkammer.at/service/studien/frauen/index.html</w:t>
        </w:r>
      </w:hyperlink>
    </w:p>
    <w:p w:rsidR="004F1681" w:rsidRDefault="004F1681" w:rsidP="002679E1">
      <w:pPr>
        <w:rPr>
          <w:rFonts w:ascii="Arial" w:hAnsi="Arial"/>
          <w:sz w:val="22"/>
        </w:rPr>
      </w:pPr>
    </w:p>
    <w:p w:rsidR="004F1681" w:rsidRDefault="004F1681" w:rsidP="002679E1">
      <w:pPr>
        <w:rPr>
          <w:rFonts w:ascii="Arial" w:hAnsi="Arial"/>
          <w:sz w:val="22"/>
        </w:rPr>
      </w:pPr>
    </w:p>
    <w:p w:rsidR="004F1681" w:rsidRDefault="004F1681" w:rsidP="002679E1">
      <w:pPr>
        <w:rPr>
          <w:rFonts w:ascii="Arial" w:hAnsi="Arial"/>
          <w:sz w:val="22"/>
        </w:rPr>
      </w:pPr>
    </w:p>
    <w:p w:rsidR="004F1681" w:rsidRDefault="004F1681" w:rsidP="002679E1">
      <w:pPr>
        <w:rPr>
          <w:rFonts w:ascii="Arial" w:hAnsi="Arial"/>
          <w:sz w:val="22"/>
        </w:rPr>
      </w:pPr>
    </w:p>
    <w:p w:rsidR="004F1681" w:rsidRDefault="004F1681" w:rsidP="002679E1">
      <w:pPr>
        <w:rPr>
          <w:rFonts w:ascii="Arial" w:hAnsi="Arial"/>
          <w:sz w:val="22"/>
        </w:rPr>
      </w:pPr>
    </w:p>
    <w:p w:rsidR="004F1681" w:rsidRDefault="004F1681" w:rsidP="002679E1">
      <w:pPr>
        <w:widowControl w:val="0"/>
        <w:autoSpaceDE w:val="0"/>
        <w:autoSpaceDN w:val="0"/>
        <w:adjustRightInd w:val="0"/>
        <w:spacing w:after="146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Studien zeigen, die Frauen im Vorstand haben höhere Gewinne und  höhere Umsätze machen als Unternehmen, die Männer geführt sind. </w:t>
      </w:r>
    </w:p>
    <w:p w:rsidR="004F1681" w:rsidRPr="004F1681" w:rsidRDefault="004F1681" w:rsidP="004F1681">
      <w:pPr>
        <w:rPr>
          <w:rFonts w:ascii="Arial" w:hAnsi="Arial"/>
          <w:b/>
          <w:sz w:val="22"/>
        </w:rPr>
      </w:pPr>
      <w:r w:rsidRPr="004F1681">
        <w:rPr>
          <w:rFonts w:ascii="Arial" w:hAnsi="Arial" w:cs="Arial"/>
          <w:b/>
          <w:sz w:val="22"/>
          <w:szCs w:val="30"/>
        </w:rPr>
        <w:t xml:space="preserve">Ernst &amp; Young Studie „Mixed </w:t>
      </w:r>
      <w:proofErr w:type="spellStart"/>
      <w:r w:rsidRPr="004F1681">
        <w:rPr>
          <w:rFonts w:ascii="Arial" w:hAnsi="Arial" w:cs="Arial"/>
          <w:b/>
          <w:sz w:val="22"/>
          <w:szCs w:val="30"/>
        </w:rPr>
        <w:t>Leadership</w:t>
      </w:r>
      <w:proofErr w:type="spellEnd"/>
      <w:r w:rsidRPr="004F1681">
        <w:rPr>
          <w:rFonts w:ascii="Arial" w:hAnsi="Arial" w:cs="Arial"/>
          <w:b/>
          <w:sz w:val="22"/>
          <w:szCs w:val="30"/>
        </w:rPr>
        <w:t>“, 2012</w:t>
      </w:r>
      <w:r w:rsidRPr="004F1681">
        <w:rPr>
          <w:rFonts w:ascii="Arial" w:hAnsi="Arial"/>
          <w:b/>
          <w:sz w:val="22"/>
        </w:rPr>
        <w:t>:</w:t>
      </w:r>
    </w:p>
    <w:p w:rsidR="002679E1" w:rsidRPr="004F1681" w:rsidRDefault="002679E1" w:rsidP="002679E1">
      <w:pPr>
        <w:widowControl w:val="0"/>
        <w:autoSpaceDE w:val="0"/>
        <w:autoSpaceDN w:val="0"/>
        <w:adjustRightInd w:val="0"/>
        <w:spacing w:after="146"/>
        <w:rPr>
          <w:rFonts w:ascii="Arial" w:hAnsi="Arial" w:cs="Arial"/>
          <w:sz w:val="22"/>
          <w:szCs w:val="30"/>
        </w:rPr>
      </w:pPr>
      <w:r w:rsidRPr="002679E1">
        <w:rPr>
          <w:rFonts w:ascii="Arial" w:hAnsi="Arial" w:cs="Arial"/>
          <w:sz w:val="22"/>
          <w:szCs w:val="30"/>
        </w:rPr>
        <w:t xml:space="preserve">Unternehmen mit weiblichen Vorstandsmitgliedern haben sich im Zeitraum 2005 bis 2010 bei den Kennziffern „Umsatz“ und „Gewinn“ besser entwickelt als Unternehmen ohne weibliche Vorstandsmitglieder. </w:t>
      </w:r>
    </w:p>
    <w:p w:rsidR="002679E1" w:rsidRPr="002679E1" w:rsidRDefault="002679E1" w:rsidP="002679E1">
      <w:pPr>
        <w:widowControl w:val="0"/>
        <w:autoSpaceDE w:val="0"/>
        <w:autoSpaceDN w:val="0"/>
        <w:adjustRightInd w:val="0"/>
        <w:spacing w:after="146"/>
        <w:rPr>
          <w:rFonts w:ascii="Arial" w:hAnsi="Arial" w:cs="Arial"/>
          <w:sz w:val="22"/>
          <w:szCs w:val="30"/>
        </w:rPr>
      </w:pPr>
      <w:r w:rsidRPr="002679E1">
        <w:rPr>
          <w:rFonts w:ascii="Arial" w:hAnsi="Arial" w:cs="Arial"/>
          <w:sz w:val="22"/>
          <w:szCs w:val="30"/>
        </w:rPr>
        <w:t xml:space="preserve">Bessere Gewinnentwicklung auch wenn erst nach 2005 eine Frau in den Vorstand berufen wurde. </w:t>
      </w:r>
    </w:p>
    <w:p w:rsidR="002679E1" w:rsidRPr="002679E1" w:rsidRDefault="002679E1" w:rsidP="002679E1">
      <w:pPr>
        <w:rPr>
          <w:rFonts w:ascii="Arial" w:hAnsi="Arial"/>
          <w:sz w:val="22"/>
        </w:rPr>
      </w:pPr>
      <w:r w:rsidRPr="002679E1">
        <w:rPr>
          <w:rFonts w:ascii="Arial" w:hAnsi="Arial" w:cs="Arial"/>
          <w:sz w:val="22"/>
          <w:szCs w:val="30"/>
        </w:rPr>
        <w:t xml:space="preserve">Ernst &amp; Young Studie „Mixed </w:t>
      </w:r>
      <w:proofErr w:type="spellStart"/>
      <w:r w:rsidRPr="002679E1">
        <w:rPr>
          <w:rFonts w:ascii="Arial" w:hAnsi="Arial" w:cs="Arial"/>
          <w:sz w:val="22"/>
          <w:szCs w:val="30"/>
        </w:rPr>
        <w:t>Leadership</w:t>
      </w:r>
      <w:proofErr w:type="spellEnd"/>
      <w:r w:rsidRPr="002679E1">
        <w:rPr>
          <w:rFonts w:ascii="Arial" w:hAnsi="Arial" w:cs="Arial"/>
          <w:sz w:val="22"/>
          <w:szCs w:val="30"/>
        </w:rPr>
        <w:t>“, 2012</w:t>
      </w:r>
    </w:p>
    <w:p w:rsidR="002679E1" w:rsidRPr="002679E1" w:rsidRDefault="002679E1" w:rsidP="002679E1">
      <w:pPr>
        <w:rPr>
          <w:b/>
          <w:sz w:val="22"/>
        </w:rPr>
      </w:pPr>
      <w:r>
        <w:rPr>
          <w:rFonts w:ascii="Arial" w:hAnsi="Arial"/>
          <w:b/>
          <w:noProof/>
          <w:sz w:val="22"/>
          <w:lang w:val="de-AT" w:eastAsia="de-AT"/>
        </w:rPr>
        <w:drawing>
          <wp:inline distT="0" distB="0" distL="0" distR="0">
            <wp:extent cx="5753100" cy="4445000"/>
            <wp:effectExtent l="25400" t="0" r="0" b="0"/>
            <wp:docPr id="1" name="Bild 1" descr="::::Desktop:Bildschirmfoto 2014-02-06 um 13.21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Bildschirmfoto 2014-02-06 um 13.21.1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9E1">
        <w:rPr>
          <w:rFonts w:ascii="Arial" w:hAnsi="Arial"/>
          <w:b/>
          <w:sz w:val="22"/>
        </w:rPr>
        <w:br w:type="page"/>
      </w:r>
    </w:p>
    <w:p w:rsidR="00E43F50" w:rsidRDefault="00E43F50" w:rsidP="007754C7">
      <w:pPr>
        <w:spacing w:line="480" w:lineRule="auto"/>
        <w:rPr>
          <w:rFonts w:ascii="Arial" w:hAnsi="Arial" w:cs="Times New Roman"/>
          <w:color w:val="595959" w:themeColor="text1" w:themeTint="A6"/>
          <w:sz w:val="20"/>
        </w:rPr>
      </w:pPr>
    </w:p>
    <w:p w:rsidR="00AA72D7" w:rsidRDefault="002679E1" w:rsidP="002679E1">
      <w:pPr>
        <w:jc w:val="center"/>
        <w:rPr>
          <w:rFonts w:ascii="Arial" w:hAnsi="Arial"/>
          <w:sz w:val="20"/>
          <w:szCs w:val="22"/>
        </w:rPr>
      </w:pPr>
      <w:r>
        <w:rPr>
          <w:rFonts w:ascii="Arial" w:hAnsi="Arial"/>
          <w:noProof/>
          <w:color w:val="595959" w:themeColor="text1" w:themeTint="A6"/>
          <w:sz w:val="20"/>
          <w:lang w:val="de-AT" w:eastAsia="de-AT"/>
        </w:rPr>
        <w:drawing>
          <wp:inline distT="0" distB="0" distL="0" distR="0">
            <wp:extent cx="5740400" cy="3962400"/>
            <wp:effectExtent l="25400" t="0" r="0" b="0"/>
            <wp:docPr id="3" name="Bild 2" descr="::::Desktop:Bildschirmfoto 2014-02-06 um 13.23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Desktop:Bildschirmfoto 2014-02-06 um 13.23.2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912" w:rsidRPr="000F70AD" w:rsidRDefault="00CD5912" w:rsidP="00162B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Verdana"/>
          <w:color w:val="000028"/>
          <w:sz w:val="20"/>
          <w:szCs w:val="22"/>
        </w:rPr>
      </w:pPr>
    </w:p>
    <w:sectPr w:rsidR="00CD5912" w:rsidRPr="000F70AD" w:rsidSect="00596B80">
      <w:headerReference w:type="default" r:id="rId15"/>
      <w:footerReference w:type="default" r:id="rId16"/>
      <w:pgSz w:w="11900" w:h="16840"/>
      <w:pgMar w:top="-2694" w:right="1417" w:bottom="1134" w:left="1417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5B" w:rsidRDefault="00E77B5B">
      <w:r>
        <w:separator/>
      </w:r>
    </w:p>
  </w:endnote>
  <w:endnote w:type="continuationSeparator" w:id="0">
    <w:p w:rsidR="00E77B5B" w:rsidRDefault="00E7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DIN-RegularAlternat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5B" w:rsidRDefault="00E77B5B">
    <w:pPr>
      <w:pStyle w:val="Fuzeile"/>
      <w:rPr>
        <w:rFonts w:ascii="Arial" w:hAnsi="Arial"/>
        <w:color w:val="660066"/>
        <w:sz w:val="20"/>
      </w:rPr>
    </w:pPr>
    <w:r>
      <w:rPr>
        <w:rFonts w:ascii="Arial" w:hAnsi="Arial"/>
        <w:sz w:val="20"/>
      </w:rPr>
      <w:tab/>
    </w:r>
    <w:r w:rsidRPr="004447C8">
      <w:rPr>
        <w:rFonts w:ascii="Arial" w:hAnsi="Arial"/>
        <w:color w:val="660066"/>
        <w:sz w:val="20"/>
      </w:rPr>
      <w:t xml:space="preserve"> </w:t>
    </w:r>
  </w:p>
  <w:p w:rsidR="00E77B5B" w:rsidRDefault="00E77B5B" w:rsidP="007754C7">
    <w:pPr>
      <w:pStyle w:val="Fuzeile"/>
      <w:jc w:val="center"/>
    </w:pPr>
    <w:r>
      <w:rPr>
        <w:rFonts w:ascii="Arial" w:hAnsi="Arial"/>
        <w:color w:val="660066"/>
        <w:sz w:val="20"/>
      </w:rPr>
      <w:t xml:space="preserve">ARGE </w:t>
    </w:r>
    <w:proofErr w:type="spellStart"/>
    <w:r>
      <w:rPr>
        <w:rFonts w:ascii="Arial" w:hAnsi="Arial"/>
        <w:color w:val="660066"/>
        <w:sz w:val="20"/>
      </w:rPr>
      <w:t>Woman’s</w:t>
    </w:r>
    <w:proofErr w:type="spellEnd"/>
    <w:r>
      <w:rPr>
        <w:rFonts w:ascii="Arial" w:hAnsi="Arial"/>
        <w:color w:val="660066"/>
        <w:sz w:val="20"/>
      </w:rPr>
      <w:t xml:space="preserve"> </w:t>
    </w:r>
    <w:proofErr w:type="spellStart"/>
    <w:r>
      <w:rPr>
        <w:rFonts w:ascii="Arial" w:hAnsi="Arial"/>
        <w:color w:val="660066"/>
        <w:sz w:val="20"/>
      </w:rPr>
      <w:t>Academy</w:t>
    </w:r>
    <w:proofErr w:type="spellEnd"/>
    <w:r>
      <w:rPr>
        <w:rFonts w:ascii="Arial" w:hAnsi="Arial"/>
        <w:color w:val="660066"/>
        <w:sz w:val="20"/>
      </w:rPr>
      <w:t xml:space="preserve"> – </w:t>
    </w:r>
    <w:hyperlink r:id="rId1" w:history="1">
      <w:r w:rsidRPr="004447C8">
        <w:rPr>
          <w:rStyle w:val="Hyperlink"/>
          <w:rFonts w:ascii="Arial" w:hAnsi="Arial"/>
          <w:color w:val="660066"/>
          <w:sz w:val="20"/>
        </w:rPr>
        <w:t>office@womans-academy.com</w:t>
      </w:r>
    </w:hyperlink>
    <w:r>
      <w:t xml:space="preserve"> </w:t>
    </w:r>
  </w:p>
  <w:p w:rsidR="00E77B5B" w:rsidRDefault="00E77B5B" w:rsidP="007754C7">
    <w:pPr>
      <w:pStyle w:val="Fuzeile"/>
      <w:jc w:val="center"/>
    </w:pPr>
    <w:r>
      <w:rPr>
        <w:rFonts w:ascii="Arial" w:hAnsi="Arial"/>
        <w:color w:val="660066"/>
        <w:sz w:val="20"/>
      </w:rPr>
      <w:t>c/o SUPPAN Kommunikationsberatung, Breitenweg 7c/1 8042 Graz</w:t>
    </w:r>
  </w:p>
  <w:p w:rsidR="00E77B5B" w:rsidRPr="004447C8" w:rsidRDefault="00E77B5B" w:rsidP="007754C7">
    <w:pPr>
      <w:pStyle w:val="Fuzeile"/>
      <w:jc w:val="center"/>
      <w:rPr>
        <w:rFonts w:ascii="Arial" w:hAnsi="Arial"/>
        <w:color w:val="660066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5B" w:rsidRDefault="00E77B5B">
      <w:r>
        <w:separator/>
      </w:r>
    </w:p>
  </w:footnote>
  <w:footnote w:type="continuationSeparator" w:id="0">
    <w:p w:rsidR="00E77B5B" w:rsidRDefault="00E77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5B" w:rsidRPr="00557C9D" w:rsidRDefault="00E77B5B" w:rsidP="007754C7">
    <w:pPr>
      <w:jc w:val="center"/>
      <w:rPr>
        <w:rFonts w:ascii="Arial Black" w:hAnsi="Arial Black"/>
        <w:color w:val="404040" w:themeColor="text1" w:themeTint="BF"/>
        <w:sz w:val="32"/>
      </w:rPr>
    </w:pPr>
    <w:r>
      <w:rPr>
        <w:noProof/>
        <w:lang w:val="de-AT" w:eastAsia="de-AT"/>
      </w:rPr>
      <w:drawing>
        <wp:inline distT="0" distB="0" distL="0" distR="0">
          <wp:extent cx="864235" cy="1070279"/>
          <wp:effectExtent l="25400" t="0" r="0" b="0"/>
          <wp:docPr id="2" name="Bild 0" descr="WoAc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Ac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9806" cy="1077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E77B5B" w:rsidRPr="00021541" w:rsidRDefault="00E77B5B" w:rsidP="007754C7">
    <w:pPr>
      <w:rPr>
        <w:rFonts w:ascii="Arial Black" w:hAnsi="Arial Black"/>
        <w:color w:val="404040" w:themeColor="text1" w:themeTint="BF"/>
        <w:sz w:val="32"/>
      </w:rPr>
    </w:pPr>
  </w:p>
  <w:p w:rsidR="00E77B5B" w:rsidRPr="00FE24BD" w:rsidRDefault="00E77B5B" w:rsidP="007754C7">
    <w:pPr>
      <w:spacing w:line="360" w:lineRule="auto"/>
      <w:jc w:val="both"/>
      <w:rPr>
        <w:rFonts w:ascii="Arial" w:hAnsi="Arial"/>
        <w:color w:val="404040" w:themeColor="text1" w:themeTint="BF"/>
        <w:sz w:val="22"/>
      </w:rPr>
    </w:pPr>
  </w:p>
  <w:p w:rsidR="00E77B5B" w:rsidRDefault="00E77B5B" w:rsidP="004447C8">
    <w:pPr>
      <w:pStyle w:val="Kopfzeile"/>
      <w:tabs>
        <w:tab w:val="left" w:pos="76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80809"/>
    <w:multiLevelType w:val="hybridMultilevel"/>
    <w:tmpl w:val="4CC47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F1E4F"/>
    <w:multiLevelType w:val="hybridMultilevel"/>
    <w:tmpl w:val="A32AE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F18CC"/>
    <w:multiLevelType w:val="hybridMultilevel"/>
    <w:tmpl w:val="08D055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12"/>
    <w:rsid w:val="00000A80"/>
    <w:rsid w:val="00021541"/>
    <w:rsid w:val="000264F9"/>
    <w:rsid w:val="00037626"/>
    <w:rsid w:val="00075A20"/>
    <w:rsid w:val="000A391D"/>
    <w:rsid w:val="000A4573"/>
    <w:rsid w:val="000B577E"/>
    <w:rsid w:val="000E7098"/>
    <w:rsid w:val="000F70AD"/>
    <w:rsid w:val="00142B3D"/>
    <w:rsid w:val="00153951"/>
    <w:rsid w:val="0015431D"/>
    <w:rsid w:val="00162BBE"/>
    <w:rsid w:val="001D4279"/>
    <w:rsid w:val="00222EF5"/>
    <w:rsid w:val="00256758"/>
    <w:rsid w:val="002679E1"/>
    <w:rsid w:val="00297E24"/>
    <w:rsid w:val="002C3CA9"/>
    <w:rsid w:val="002D0EE2"/>
    <w:rsid w:val="00307CA3"/>
    <w:rsid w:val="00341CCB"/>
    <w:rsid w:val="0034636A"/>
    <w:rsid w:val="003633A7"/>
    <w:rsid w:val="00377A0E"/>
    <w:rsid w:val="003A5041"/>
    <w:rsid w:val="004447C8"/>
    <w:rsid w:val="004509BC"/>
    <w:rsid w:val="004561A0"/>
    <w:rsid w:val="004F1681"/>
    <w:rsid w:val="00520213"/>
    <w:rsid w:val="00537937"/>
    <w:rsid w:val="00557C9D"/>
    <w:rsid w:val="00596B80"/>
    <w:rsid w:val="005C460B"/>
    <w:rsid w:val="005E5F0C"/>
    <w:rsid w:val="006355D1"/>
    <w:rsid w:val="00655140"/>
    <w:rsid w:val="00655E5C"/>
    <w:rsid w:val="0069102E"/>
    <w:rsid w:val="00705094"/>
    <w:rsid w:val="007754C7"/>
    <w:rsid w:val="007A6CB2"/>
    <w:rsid w:val="007E1AD8"/>
    <w:rsid w:val="00844366"/>
    <w:rsid w:val="008D4525"/>
    <w:rsid w:val="00902D92"/>
    <w:rsid w:val="0092616B"/>
    <w:rsid w:val="00965417"/>
    <w:rsid w:val="00975843"/>
    <w:rsid w:val="00977CE1"/>
    <w:rsid w:val="009A72A4"/>
    <w:rsid w:val="00A05BF1"/>
    <w:rsid w:val="00A54FFC"/>
    <w:rsid w:val="00AA72D7"/>
    <w:rsid w:val="00AB4E3F"/>
    <w:rsid w:val="00B04516"/>
    <w:rsid w:val="00B25E28"/>
    <w:rsid w:val="00B37A7E"/>
    <w:rsid w:val="00BD0D99"/>
    <w:rsid w:val="00BE4BFC"/>
    <w:rsid w:val="00C43146"/>
    <w:rsid w:val="00C911BC"/>
    <w:rsid w:val="00CD5912"/>
    <w:rsid w:val="00D53909"/>
    <w:rsid w:val="00E43F50"/>
    <w:rsid w:val="00E77B5B"/>
    <w:rsid w:val="00EC2BCF"/>
    <w:rsid w:val="00F228CF"/>
    <w:rsid w:val="00F45B32"/>
    <w:rsid w:val="00FB4174"/>
    <w:rsid w:val="00FE24B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355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A8355E"/>
  </w:style>
  <w:style w:type="paragraph" w:customStyle="1" w:styleId="IOA">
    <w:name w:val="IOA"/>
    <w:basedOn w:val="Standard"/>
    <w:rsid w:val="006870F5"/>
    <w:rPr>
      <w:rFonts w:ascii="Arial" w:hAnsi="Arial"/>
      <w:sz w:val="22"/>
    </w:rPr>
  </w:style>
  <w:style w:type="character" w:customStyle="1" w:styleId="IOABooklet">
    <w:name w:val="IOA  Booklet"/>
    <w:basedOn w:val="Absatz-Standardschriftart1"/>
    <w:rsid w:val="00786436"/>
  </w:style>
  <w:style w:type="paragraph" w:styleId="Kopfzeile">
    <w:name w:val="header"/>
    <w:basedOn w:val="Standard"/>
    <w:link w:val="KopfzeileZeichen"/>
    <w:uiPriority w:val="99"/>
    <w:unhideWhenUsed/>
    <w:rsid w:val="00CD591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CD5912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CD591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CD5912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D0EE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D0EE2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436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B4E3F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-Standardschriftart"/>
    <w:link w:val="Sprechblasentext"/>
    <w:uiPriority w:val="99"/>
    <w:semiHidden/>
    <w:rsid w:val="00AB4E3F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2679E1"/>
    <w:rPr>
      <w:sz w:val="22"/>
      <w:szCs w:val="22"/>
      <w:lang w:val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355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A8355E"/>
  </w:style>
  <w:style w:type="paragraph" w:customStyle="1" w:styleId="IOA">
    <w:name w:val="IOA"/>
    <w:basedOn w:val="Standard"/>
    <w:rsid w:val="006870F5"/>
    <w:rPr>
      <w:rFonts w:ascii="Arial" w:hAnsi="Arial"/>
      <w:sz w:val="22"/>
    </w:rPr>
  </w:style>
  <w:style w:type="character" w:customStyle="1" w:styleId="IOABooklet">
    <w:name w:val="IOA  Booklet"/>
    <w:basedOn w:val="Absatz-Standardschriftart1"/>
    <w:rsid w:val="00786436"/>
  </w:style>
  <w:style w:type="paragraph" w:styleId="Kopfzeile">
    <w:name w:val="header"/>
    <w:basedOn w:val="Standard"/>
    <w:link w:val="KopfzeileZeichen"/>
    <w:uiPriority w:val="99"/>
    <w:unhideWhenUsed/>
    <w:rsid w:val="00CD591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CD5912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CD591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CD5912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D0EE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D0EE2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436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B4E3F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-Standardschriftart"/>
    <w:link w:val="Sprechblasentext"/>
    <w:uiPriority w:val="99"/>
    <w:semiHidden/>
    <w:rsid w:val="00AB4E3F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2679E1"/>
    <w:rPr>
      <w:sz w:val="22"/>
      <w:szCs w:val="22"/>
      <w:lang w:val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487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6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stik.gv.at/web_de/statistiken/arbeitsmarkt/arbeitszeit/teilzeitarbeit_teilzeitquote/index.html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rbeiterkammer.at/service/studien/frauen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atistik.at/web_de/statistiken/soziales/personen-einkommen/allgemeiner_einkommensbericht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tatistik.at/web_de/statistiken/soziales/gender-statistik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womans-academ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370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Ingeborg Farcher</cp:lastModifiedBy>
  <cp:revision>2</cp:revision>
  <cp:lastPrinted>2013-12-21T09:31:00Z</cp:lastPrinted>
  <dcterms:created xsi:type="dcterms:W3CDTF">2014-02-10T14:16:00Z</dcterms:created>
  <dcterms:modified xsi:type="dcterms:W3CDTF">2014-02-10T14:16:00Z</dcterms:modified>
</cp:coreProperties>
</file>